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133D09" w:rsidP="00133D09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4804835" cy="3209925"/>
            <wp:effectExtent l="0" t="0" r="0" b="0"/>
            <wp:docPr id="38" name="图片 37" descr="cloud&amp;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ud&amp;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3182" cy="320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2A6C2E" w:rsidRDefault="002A6C2E" w:rsidP="008312F5">
      <w:pPr>
        <w:rPr>
          <w:b/>
          <w:sz w:val="24"/>
          <w:szCs w:val="24"/>
        </w:rPr>
      </w:pPr>
    </w:p>
    <w:p w:rsidR="00133D09" w:rsidRDefault="00133D09" w:rsidP="008312F5">
      <w:pPr>
        <w:rPr>
          <w:b/>
          <w:sz w:val="24"/>
          <w:szCs w:val="24"/>
        </w:rPr>
      </w:pPr>
    </w:p>
    <w:p w:rsidR="00133D09" w:rsidRDefault="00133D09" w:rsidP="008312F5">
      <w:pPr>
        <w:rPr>
          <w:b/>
          <w:sz w:val="24"/>
          <w:szCs w:val="24"/>
        </w:rPr>
      </w:pPr>
    </w:p>
    <w:p w:rsidR="008312F5" w:rsidRPr="002A6C2E" w:rsidRDefault="008312F5" w:rsidP="004151BA">
      <w:pPr>
        <w:spacing w:line="300" w:lineRule="auto"/>
        <w:rPr>
          <w:b/>
          <w:color w:val="FF0000"/>
          <w:sz w:val="24"/>
          <w:szCs w:val="24"/>
        </w:rPr>
      </w:pPr>
      <w:r w:rsidRPr="002A6C2E">
        <w:rPr>
          <w:rFonts w:hint="eastAsia"/>
          <w:b/>
          <w:color w:val="FF0000"/>
          <w:sz w:val="24"/>
          <w:szCs w:val="24"/>
        </w:rPr>
        <w:lastRenderedPageBreak/>
        <w:t>公司介绍</w:t>
      </w:r>
    </w:p>
    <w:p w:rsidR="008312F5" w:rsidRPr="00EB30A4" w:rsidRDefault="00E028D1" w:rsidP="004151BA">
      <w:pPr>
        <w:spacing w:line="30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>上海睿远软件信息咨询有限公司（</w:t>
      </w:r>
      <w:r w:rsidR="009B31EE" w:rsidRPr="002A6C2E">
        <w:rPr>
          <w:rFonts w:asciiTheme="majorEastAsia" w:eastAsiaTheme="majorEastAsia" w:hAnsiTheme="majorEastAsia" w:hint="eastAsia"/>
        </w:rPr>
        <w:t>Breakingpoint Consultin</w:t>
      </w:r>
      <w:r>
        <w:rPr>
          <w:rFonts w:asciiTheme="majorEastAsia" w:eastAsiaTheme="majorEastAsia" w:hAnsiTheme="majorEastAsia" w:hint="eastAsia"/>
        </w:rPr>
        <w:t>g）</w:t>
      </w:r>
      <w:r w:rsidR="00341ACA">
        <w:rPr>
          <w:rFonts w:asciiTheme="majorEastAsia" w:eastAsiaTheme="majorEastAsia" w:hAnsiTheme="majorEastAsia" w:hint="eastAsia"/>
        </w:rPr>
        <w:t>，</w:t>
      </w:r>
      <w:r w:rsidR="008312F5" w:rsidRPr="002A6C2E">
        <w:rPr>
          <w:rFonts w:asciiTheme="majorEastAsia" w:eastAsiaTheme="majorEastAsia" w:hAnsiTheme="majorEastAsia" w:hint="eastAsia"/>
        </w:rPr>
        <w:t>是Salesforce.com 在中国的最优秀的合作伙伴之一。</w:t>
      </w:r>
      <w:r w:rsidR="00B429D5">
        <w:rPr>
          <w:rFonts w:asciiTheme="majorEastAsia" w:eastAsiaTheme="majorEastAsia" w:hAnsiTheme="majorEastAsia" w:hint="eastAsia"/>
        </w:rPr>
        <w:t>Salesforce.com 是一家</w:t>
      </w:r>
      <w:r w:rsidR="008057F2" w:rsidRPr="008057F2">
        <w:rPr>
          <w:rFonts w:asciiTheme="majorEastAsia" w:eastAsiaTheme="majorEastAsia" w:hAnsiTheme="majorEastAsia"/>
        </w:rPr>
        <w:t>在纽约上市的全球领先的企业云计算公司</w:t>
      </w:r>
      <w:r w:rsidR="00B429D5" w:rsidRPr="00EB30A4">
        <w:rPr>
          <w:rFonts w:asciiTheme="majorEastAsia" w:eastAsiaTheme="majorEastAsia" w:hAnsiTheme="majorEastAsia"/>
        </w:rPr>
        <w:t>，</w:t>
      </w:r>
      <w:r w:rsidR="00EB30A4" w:rsidRPr="00EB30A4">
        <w:rPr>
          <w:rFonts w:asciiTheme="majorEastAsia" w:eastAsiaTheme="majorEastAsia" w:hAnsiTheme="majorEastAsia" w:hint="eastAsia"/>
        </w:rPr>
        <w:t>在全球拥有超过97700个客户，</w:t>
      </w:r>
      <w:r w:rsidR="001153EA" w:rsidRPr="001153EA">
        <w:rPr>
          <w:rFonts w:asciiTheme="majorEastAsia" w:eastAsiaTheme="majorEastAsia" w:hAnsiTheme="majorEastAsia" w:hint="eastAsia"/>
        </w:rPr>
        <w:t>2010</w:t>
      </w:r>
      <w:r w:rsidR="00B429D5" w:rsidRPr="001153EA">
        <w:rPr>
          <w:rFonts w:asciiTheme="majorEastAsia" w:eastAsiaTheme="majorEastAsia" w:hAnsiTheme="majorEastAsia"/>
        </w:rPr>
        <w:t>年营业额</w:t>
      </w:r>
      <w:r w:rsidR="00EB30A4" w:rsidRPr="001153EA">
        <w:rPr>
          <w:rFonts w:asciiTheme="majorEastAsia" w:eastAsiaTheme="majorEastAsia" w:hAnsiTheme="majorEastAsia" w:hint="eastAsia"/>
        </w:rPr>
        <w:t>高达</w:t>
      </w:r>
      <w:r w:rsidR="001153EA" w:rsidRPr="001153EA">
        <w:rPr>
          <w:rFonts w:asciiTheme="majorEastAsia" w:eastAsiaTheme="majorEastAsia" w:hAnsiTheme="majorEastAsia" w:hint="eastAsia"/>
        </w:rPr>
        <w:t>16.57</w:t>
      </w:r>
      <w:r w:rsidR="00EB30A4" w:rsidRPr="001153EA">
        <w:rPr>
          <w:rFonts w:asciiTheme="majorEastAsia" w:eastAsiaTheme="majorEastAsia" w:hAnsiTheme="majorEastAsia" w:hint="eastAsia"/>
        </w:rPr>
        <w:t>亿美金。</w:t>
      </w:r>
    </w:p>
    <w:p w:rsidR="008312F5" w:rsidRPr="001153EA" w:rsidRDefault="008312F5" w:rsidP="004151BA">
      <w:pPr>
        <w:spacing w:line="300" w:lineRule="auto"/>
        <w:rPr>
          <w:rFonts w:asciiTheme="majorEastAsia" w:eastAsiaTheme="majorEastAsia" w:hAnsiTheme="majorEastAsia"/>
        </w:rPr>
      </w:pPr>
    </w:p>
    <w:p w:rsidR="008312F5" w:rsidRPr="002A6C2E" w:rsidRDefault="00341ACA" w:rsidP="004151BA">
      <w:pPr>
        <w:spacing w:line="30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上海睿远软件信息咨询有限公司</w:t>
      </w:r>
      <w:r w:rsidR="008312F5" w:rsidRPr="002A6C2E">
        <w:rPr>
          <w:rFonts w:asciiTheme="majorEastAsia" w:eastAsiaTheme="majorEastAsia" w:hAnsiTheme="majorEastAsia" w:hint="eastAsia"/>
        </w:rPr>
        <w:t>专注于向高成长型、富于创新精神的各行业客户提供客户关系管理（On-demand CRM）的专业可信的咨询及解决方案，以帮助客户提高运营效率、降低成本、提高客户满意度、提升综合竞争力。公司秉持着高质量、高效率的服务理念，为越来越多的客户提供服务，并且赢得了普遍认可与好评。目前，</w:t>
      </w:r>
      <w:r>
        <w:rPr>
          <w:rFonts w:asciiTheme="majorEastAsia" w:eastAsiaTheme="majorEastAsia" w:hAnsiTheme="majorEastAsia" w:hint="eastAsia"/>
        </w:rPr>
        <w:t>上海睿远软件信息咨询有限公司</w:t>
      </w:r>
      <w:r w:rsidR="008312F5" w:rsidRPr="002A6C2E">
        <w:rPr>
          <w:rFonts w:asciiTheme="majorEastAsia" w:eastAsiaTheme="majorEastAsia" w:hAnsiTheme="majorEastAsia" w:hint="eastAsia"/>
        </w:rPr>
        <w:t>的客户主要为欧美企业和世界500强企业，涉及金融、能源、教育、商业服务、生命科学等各大领域。从创立至今</w:t>
      </w:r>
      <w:r w:rsidR="00B429D5" w:rsidRPr="002A6C2E">
        <w:rPr>
          <w:rFonts w:asciiTheme="majorEastAsia" w:eastAsiaTheme="majorEastAsia" w:hAnsiTheme="majorEastAsia" w:hint="eastAsia"/>
        </w:rPr>
        <w:t>，</w:t>
      </w:r>
      <w:r>
        <w:rPr>
          <w:rFonts w:asciiTheme="majorEastAsia" w:eastAsiaTheme="majorEastAsia" w:hAnsiTheme="majorEastAsia" w:hint="eastAsia"/>
        </w:rPr>
        <w:t>上海睿远软件信息咨询有限公司</w:t>
      </w:r>
      <w:r w:rsidR="008312F5" w:rsidRPr="002A6C2E">
        <w:rPr>
          <w:rFonts w:asciiTheme="majorEastAsia" w:eastAsiaTheme="majorEastAsia" w:hAnsiTheme="majorEastAsia" w:hint="eastAsia"/>
        </w:rPr>
        <w:t>的业务量增长迅速，发展势头迅猛。</w:t>
      </w:r>
    </w:p>
    <w:p w:rsidR="008312F5" w:rsidRPr="00B429D5" w:rsidRDefault="008312F5" w:rsidP="004151BA">
      <w:pPr>
        <w:spacing w:line="300" w:lineRule="auto"/>
        <w:rPr>
          <w:rFonts w:asciiTheme="majorEastAsia" w:eastAsiaTheme="majorEastAsia" w:hAnsiTheme="majorEastAsia"/>
        </w:rPr>
      </w:pPr>
    </w:p>
    <w:p w:rsidR="008312F5" w:rsidRPr="002A6C2E" w:rsidRDefault="00341ACA" w:rsidP="004151BA">
      <w:pPr>
        <w:spacing w:line="30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上海睿远软件信息咨询有限公司</w:t>
      </w:r>
      <w:r w:rsidR="008312F5" w:rsidRPr="002A6C2E">
        <w:rPr>
          <w:rFonts w:asciiTheme="majorEastAsia" w:eastAsiaTheme="majorEastAsia" w:hAnsiTheme="majorEastAsia" w:hint="eastAsia"/>
        </w:rPr>
        <w:t>倡导“旷达、勇敢、诚信、创新、合作”的企业精神，具有良好的内部机制。优良的工作环境以及良好的激励机制，吸引了一批年轻的、有学识的、具有实干精神、勇于提出新想法的人才。高素质、高水平、高效率的人才也是</w:t>
      </w:r>
      <w:r>
        <w:rPr>
          <w:rFonts w:asciiTheme="majorEastAsia" w:eastAsiaTheme="majorEastAsia" w:hAnsiTheme="majorEastAsia" w:hint="eastAsia"/>
        </w:rPr>
        <w:t>上海睿远软件信息咨询有限公司</w:t>
      </w:r>
      <w:r w:rsidR="008312F5" w:rsidRPr="002A6C2E">
        <w:rPr>
          <w:rFonts w:asciiTheme="majorEastAsia" w:eastAsiaTheme="majorEastAsia" w:hAnsiTheme="majorEastAsia" w:hint="eastAsia"/>
        </w:rPr>
        <w:t>在当今激烈的市场中立于不败之地的保障。</w:t>
      </w:r>
    </w:p>
    <w:p w:rsidR="008312F5" w:rsidRPr="002A6C2E" w:rsidRDefault="008312F5" w:rsidP="004151BA">
      <w:pPr>
        <w:spacing w:line="300" w:lineRule="auto"/>
        <w:rPr>
          <w:rFonts w:asciiTheme="majorEastAsia" w:eastAsiaTheme="majorEastAsia" w:hAnsiTheme="majorEastAsia"/>
        </w:rPr>
      </w:pPr>
    </w:p>
    <w:p w:rsidR="008312F5" w:rsidRPr="002A6C2E" w:rsidRDefault="008312F5" w:rsidP="004151BA">
      <w:pPr>
        <w:spacing w:line="300" w:lineRule="auto"/>
        <w:rPr>
          <w:rFonts w:asciiTheme="majorEastAsia" w:eastAsiaTheme="majorEastAsia" w:hAnsiTheme="majorEastAsia"/>
        </w:rPr>
      </w:pPr>
      <w:r w:rsidRPr="002A6C2E">
        <w:rPr>
          <w:rFonts w:asciiTheme="majorEastAsia" w:eastAsiaTheme="majorEastAsia" w:hAnsiTheme="majorEastAsia" w:hint="eastAsia"/>
        </w:rPr>
        <w:t>以成为该领域在中国市场内的先锋为公司愿景，本着勇于突破创新的态度，</w:t>
      </w:r>
      <w:r w:rsidR="00341ACA">
        <w:rPr>
          <w:rFonts w:asciiTheme="majorEastAsia" w:eastAsiaTheme="majorEastAsia" w:hAnsiTheme="majorEastAsia" w:hint="eastAsia"/>
        </w:rPr>
        <w:t>上海睿远软件信息咨询有限公司</w:t>
      </w:r>
      <w:r w:rsidRPr="002A6C2E">
        <w:rPr>
          <w:rFonts w:asciiTheme="majorEastAsia" w:eastAsiaTheme="majorEastAsia" w:hAnsiTheme="majorEastAsia" w:hint="eastAsia"/>
        </w:rPr>
        <w:t>放眼于更加广阔的国内外市场，投入更多的精力于研发新的服务项目，为更多的客户提供更多更好的服务。</w:t>
      </w:r>
    </w:p>
    <w:p w:rsidR="008312F5" w:rsidRPr="00E028D1" w:rsidRDefault="008312F5" w:rsidP="004151BA">
      <w:pPr>
        <w:spacing w:line="300" w:lineRule="auto"/>
      </w:pPr>
    </w:p>
    <w:p w:rsidR="008312F5" w:rsidRPr="002A6C2E" w:rsidRDefault="00E62B32" w:rsidP="004151BA">
      <w:pPr>
        <w:spacing w:line="300" w:lineRule="auto"/>
        <w:rPr>
          <w:b/>
          <w:color w:val="FF0000"/>
          <w:sz w:val="24"/>
          <w:szCs w:val="24"/>
        </w:rPr>
      </w:pPr>
      <w:r w:rsidRPr="002A6C2E">
        <w:rPr>
          <w:rFonts w:hint="eastAsia"/>
          <w:b/>
          <w:color w:val="FF0000"/>
          <w:sz w:val="24"/>
          <w:szCs w:val="24"/>
        </w:rPr>
        <w:t>企业文化</w:t>
      </w:r>
    </w:p>
    <w:p w:rsidR="00E62B32" w:rsidRDefault="00E62B32" w:rsidP="004151BA">
      <w:pPr>
        <w:spacing w:line="300" w:lineRule="auto"/>
      </w:pPr>
      <w:r>
        <w:rPr>
          <w:rFonts w:hint="eastAsia"/>
        </w:rPr>
        <w:t>使命：提供高效专业的云计算解决方案</w:t>
      </w:r>
    </w:p>
    <w:p w:rsidR="00E62B32" w:rsidRDefault="00E62B32" w:rsidP="004151BA">
      <w:pPr>
        <w:spacing w:line="300" w:lineRule="auto"/>
      </w:pPr>
      <w:r>
        <w:rPr>
          <w:rFonts w:hint="eastAsia"/>
        </w:rPr>
        <w:t>愿景：成为中国市场</w:t>
      </w:r>
      <w:r w:rsidR="00184A5B">
        <w:rPr>
          <w:rFonts w:hint="eastAsia"/>
        </w:rPr>
        <w:t>领先的</w:t>
      </w:r>
      <w:r>
        <w:rPr>
          <w:rFonts w:hint="eastAsia"/>
        </w:rPr>
        <w:t>云计算方案解决专家</w:t>
      </w:r>
    </w:p>
    <w:p w:rsidR="00133D09" w:rsidRDefault="00133D09" w:rsidP="004151BA">
      <w:pPr>
        <w:spacing w:line="300" w:lineRule="auto"/>
      </w:pPr>
    </w:p>
    <w:p w:rsidR="00E62B32" w:rsidRDefault="00E62B32" w:rsidP="004151BA">
      <w:pPr>
        <w:spacing w:line="300" w:lineRule="auto"/>
      </w:pPr>
      <w:r w:rsidRPr="00133D09">
        <w:rPr>
          <w:rFonts w:hint="eastAsia"/>
          <w:b/>
          <w:color w:val="FF0000"/>
          <w:sz w:val="24"/>
          <w:szCs w:val="24"/>
        </w:rPr>
        <w:t>核心价值</w:t>
      </w:r>
    </w:p>
    <w:p w:rsidR="00E62B32" w:rsidRDefault="00E62B32" w:rsidP="008312F5">
      <w:r>
        <w:rPr>
          <w:rFonts w:ascii="Trebuchet MS" w:hAnsi="Trebuchet MS"/>
          <w:b/>
          <w:bCs/>
          <w:noProof/>
          <w:color w:val="006699"/>
          <w:sz w:val="20"/>
          <w:szCs w:val="20"/>
        </w:rPr>
        <w:drawing>
          <wp:inline distT="0" distB="0" distL="0" distR="0">
            <wp:extent cx="5105400" cy="1857375"/>
            <wp:effectExtent l="19050" t="0" r="0" b="0"/>
            <wp:docPr id="4" name="图片 1" descr="http://www.ibreakingpoint.com/flashimg/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breakingpoint.com/flashimg/TO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642" w:rsidRDefault="00292642" w:rsidP="008312F5"/>
    <w:p w:rsidR="004151BA" w:rsidRDefault="004151BA" w:rsidP="008312F5">
      <w:pPr>
        <w:rPr>
          <w:b/>
          <w:color w:val="FF0000"/>
          <w:sz w:val="24"/>
          <w:szCs w:val="24"/>
        </w:rPr>
      </w:pPr>
    </w:p>
    <w:p w:rsidR="00856CE0" w:rsidRDefault="00856CE0" w:rsidP="008312F5">
      <w:pPr>
        <w:rPr>
          <w:b/>
          <w:color w:val="FF0000"/>
          <w:sz w:val="24"/>
          <w:szCs w:val="24"/>
        </w:rPr>
      </w:pPr>
      <w:r w:rsidRPr="002A6C2E">
        <w:rPr>
          <w:rFonts w:hint="eastAsia"/>
          <w:b/>
          <w:color w:val="FF0000"/>
          <w:sz w:val="24"/>
          <w:szCs w:val="24"/>
        </w:rPr>
        <w:lastRenderedPageBreak/>
        <w:t>我们的服务</w:t>
      </w:r>
    </w:p>
    <w:p w:rsidR="00133D09" w:rsidRPr="002A6C2E" w:rsidRDefault="00133D09" w:rsidP="008312F5">
      <w:pPr>
        <w:rPr>
          <w:b/>
          <w:color w:val="FF0000"/>
          <w:sz w:val="24"/>
          <w:szCs w:val="24"/>
        </w:rPr>
      </w:pPr>
    </w:p>
    <w:p w:rsidR="00856CE0" w:rsidRDefault="0084626D" w:rsidP="008312F5">
      <w:r w:rsidRPr="0084626D">
        <w:rPr>
          <w:noProof/>
        </w:rPr>
        <w:drawing>
          <wp:inline distT="0" distB="0" distL="0" distR="0">
            <wp:extent cx="5038725" cy="3676650"/>
            <wp:effectExtent l="19050" t="0" r="0" b="0"/>
            <wp:docPr id="41" name="对象 2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82565" cy="5135562"/>
                      <a:chOff x="1342210" y="1001713"/>
                      <a:chExt cx="6382565" cy="5135562"/>
                    </a:xfrm>
                  </a:grpSpPr>
                  <a:sp>
                    <a:nvSpPr>
                      <a:cNvPr id="3" name="Rounded Rectangle 15"/>
                      <a:cNvSpPr/>
                    </a:nvSpPr>
                    <a:spPr>
                      <a:xfrm>
                        <a:off x="1355605" y="1130902"/>
                        <a:ext cx="2578617" cy="931856"/>
                      </a:xfrm>
                      <a:prstGeom prst="roundRect">
                        <a:avLst>
                          <a:gd name="adj" fmla="val 6997"/>
                        </a:avLst>
                      </a:prstGeom>
                      <a:gradFill>
                        <a:gsLst>
                          <a:gs pos="0">
                            <a:srgbClr val="327FCF"/>
                          </a:gs>
                          <a:gs pos="100000">
                            <a:srgbClr val="327FCF"/>
                          </a:gs>
                        </a:gsLst>
                      </a:gradFill>
                      <a:ln>
                        <a:noFill/>
                      </a:ln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 contourW="12700">
                        <a:bevelT w="63500" h="25400"/>
                        <a:contourClr>
                          <a:schemeClr val="tx1">
                            <a:lumMod val="65000"/>
                            <a:lumOff val="35000"/>
                          </a:schemeClr>
                        </a:contourClr>
                      </a:sp3d>
                    </a:spPr>
                    <a:txSp>
                      <a:txBody>
                        <a:bodyPr lIns="64291" tIns="32146" rIns="64291" bIns="32146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altLang="zh-CN" sz="1600" dirty="0">
                              <a:solidFill>
                                <a:schemeClr val="tx1"/>
                              </a:solidFill>
                            </a:rPr>
                            <a:t>Salesforce.com CRM </a:t>
                          </a:r>
                          <a:r>
                            <a:rPr lang="en-US" altLang="zh-CN" sz="1800" dirty="0" smtClean="0"/>
                            <a:t> 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实施</a:t>
                          </a:r>
                          <a:endParaRPr lang="en-US" altLang="zh-CN" sz="16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Rounded Rectangle 15"/>
                      <a:cNvSpPr/>
                    </a:nvSpPr>
                    <a:spPr>
                      <a:xfrm>
                        <a:off x="1342210" y="2470157"/>
                        <a:ext cx="2578617" cy="851489"/>
                      </a:xfrm>
                      <a:prstGeom prst="roundRect">
                        <a:avLst>
                          <a:gd name="adj" fmla="val 6997"/>
                        </a:avLst>
                      </a:prstGeom>
                      <a:gradFill>
                        <a:gsLst>
                          <a:gs pos="0">
                            <a:srgbClr val="327FCF"/>
                          </a:gs>
                          <a:gs pos="100000">
                            <a:srgbClr val="327FCF"/>
                          </a:gs>
                        </a:gsLst>
                      </a:gradFill>
                      <a:ln>
                        <a:noFill/>
                      </a:ln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 contourW="12700">
                        <a:bevelT w="63500" h="25400"/>
                        <a:contourClr>
                          <a:schemeClr val="tx1">
                            <a:lumMod val="65000"/>
                            <a:lumOff val="35000"/>
                          </a:schemeClr>
                        </a:contourClr>
                      </a:sp3d>
                    </a:spPr>
                    <a:txSp>
                      <a:txBody>
                        <a:bodyPr lIns="64291" tIns="32146" rIns="64291" bIns="32146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altLang="zh-CN" sz="1600" dirty="0">
                              <a:solidFill>
                                <a:schemeClr val="tx1"/>
                              </a:solidFill>
                            </a:rPr>
                            <a:t>Salesforce.com CRM </a:t>
                          </a:r>
                          <a:endParaRPr lang="en-US" altLang="zh-CN" sz="1600" dirty="0" smtClean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咨询</a:t>
                          </a:r>
                          <a:endParaRPr lang="en-US" sz="1800" dirty="0">
                            <a:solidFill>
                              <a:schemeClr val="tx1"/>
                            </a:solidFill>
                            <a:ea typeface="ＭＳ Ｐゴシック" pitchFamily="34" charset="-128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Rounded Rectangle 15"/>
                      <a:cNvSpPr/>
                    </a:nvSpPr>
                    <a:spPr>
                      <a:xfrm>
                        <a:off x="1395789" y="5045181"/>
                        <a:ext cx="2578617" cy="931856"/>
                      </a:xfrm>
                      <a:prstGeom prst="roundRect">
                        <a:avLst>
                          <a:gd name="adj" fmla="val 6997"/>
                        </a:avLst>
                      </a:prstGeom>
                      <a:gradFill>
                        <a:gsLst>
                          <a:gs pos="0">
                            <a:srgbClr val="327FCF"/>
                          </a:gs>
                          <a:gs pos="100000">
                            <a:srgbClr val="327FCF"/>
                          </a:gs>
                        </a:gsLst>
                      </a:gradFill>
                      <a:ln>
                        <a:noFill/>
                      </a:ln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 contourW="12700">
                        <a:bevelT w="63500" h="25400"/>
                        <a:contourClr>
                          <a:schemeClr val="tx1">
                            <a:lumMod val="65000"/>
                            <a:lumOff val="35000"/>
                          </a:schemeClr>
                        </a:contourClr>
                      </a:sp3d>
                    </a:spPr>
                    <a:txSp>
                      <a:txBody>
                        <a:bodyPr lIns="64291" tIns="32146" rIns="64291" bIns="32146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altLang="zh-CN" sz="1600" dirty="0">
                              <a:solidFill>
                                <a:schemeClr val="tx1"/>
                              </a:solidFill>
                            </a:rPr>
                            <a:t>Salesforce.com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客户培训</a:t>
                          </a:r>
                          <a:endParaRPr lang="en-US" altLang="en-US" sz="16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Rounded Rectangle 15"/>
                      <a:cNvSpPr/>
                    </a:nvSpPr>
                    <a:spPr>
                      <a:xfrm>
                        <a:off x="1369000" y="3741050"/>
                        <a:ext cx="2578617" cy="931856"/>
                      </a:xfrm>
                      <a:prstGeom prst="roundRect">
                        <a:avLst>
                          <a:gd name="adj" fmla="val 6997"/>
                        </a:avLst>
                      </a:prstGeom>
                      <a:gradFill>
                        <a:gsLst>
                          <a:gs pos="0">
                            <a:srgbClr val="327FCF"/>
                          </a:gs>
                          <a:gs pos="100000">
                            <a:srgbClr val="327FCF"/>
                          </a:gs>
                        </a:gsLst>
                      </a:gradFill>
                      <a:ln>
                        <a:noFill/>
                      </a:ln>
                      <a:scene3d>
                        <a:camera prst="orthographicFront">
                          <a:rot lat="0" lon="0" rev="0"/>
                        </a:camera>
                        <a:lightRig rig="threePt" dir="t">
                          <a:rot lat="0" lon="0" rev="1200000"/>
                        </a:lightRig>
                      </a:scene3d>
                      <a:sp3d contourW="12700">
                        <a:bevelT w="63500" h="25400"/>
                        <a:contourClr>
                          <a:schemeClr val="tx1">
                            <a:lumMod val="65000"/>
                            <a:lumOff val="35000"/>
                          </a:schemeClr>
                        </a:contourClr>
                      </a:sp3d>
                    </a:spPr>
                    <a:txSp>
                      <a:txBody>
                        <a:bodyPr lIns="64291" tIns="32146" rIns="64291" bIns="32146" anchor="ctr"/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altLang="zh-CN" sz="1600" dirty="0">
                              <a:solidFill>
                                <a:schemeClr val="tx1"/>
                              </a:solidFill>
                            </a:rPr>
                            <a:t>Salesforce.com CRM </a:t>
                          </a:r>
                          <a:endParaRPr lang="en-US" altLang="zh-CN" sz="1600" dirty="0" smtClean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整合</a:t>
                          </a:r>
                          <a:endParaRPr lang="en-US" sz="1800" dirty="0">
                            <a:solidFill>
                              <a:schemeClr val="tx1"/>
                            </a:solidFill>
                            <a:ea typeface="ＭＳ Ｐゴシック" pitchFamily="34" charset="-128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7" name="Picture 97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854575" y="5024438"/>
                        <a:ext cx="2806700" cy="11128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dist="38100" dir="2700000" rotWithShape="0">
                          <a:srgbClr val="808080">
                            <a:alpha val="42998"/>
                          </a:srgbClr>
                        </a:outerShdw>
                      </a:effectLst>
                    </a:spPr>
                  </a:pic>
                  <a:sp>
                    <a:nvSpPr>
                      <a:cNvPr id="8" name="Text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72066" y="5214950"/>
                        <a:ext cx="2312987" cy="6650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64291" tIns="32146" rIns="64291" bIns="32146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终端用户培训</a:t>
                          </a:r>
                          <a:endParaRPr lang="en-US" altLang="zh-CN" sz="1300" dirty="0" smtClean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管理人员培训</a:t>
                          </a:r>
                          <a:endParaRPr lang="en-US" altLang="zh-CN" sz="1300" dirty="0" smtClean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开发人员培训</a:t>
                          </a:r>
                          <a:endParaRPr lang="zh-CN" altLang="en-US" sz="1300" dirty="0"/>
                        </a:p>
                      </a:txBody>
                      <a:useSpRect/>
                    </a:txSp>
                  </a:sp>
                  <a:pic>
                    <a:nvPicPr>
                      <a:cNvPr id="9" name="Picture 97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814888" y="3652838"/>
                        <a:ext cx="2806700" cy="1154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dist="38100" dir="2700000" rotWithShape="0">
                          <a:srgbClr val="808080">
                            <a:alpha val="42998"/>
                          </a:srgbClr>
                        </a:outerShdw>
                      </a:effectLst>
                    </a:spPr>
                  </a:pic>
                  <a:sp>
                    <a:nvSpPr>
                      <a:cNvPr id="10" name="Text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0628" y="3857628"/>
                        <a:ext cx="2606675" cy="6650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64291" tIns="32146" rIns="64291" bIns="32146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呼叫中心整合</a:t>
                          </a:r>
                          <a:endParaRPr lang="en-US" altLang="zh-CN" sz="1300" dirty="0" smtClean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en-US" altLang="zh-CN" sz="1300" dirty="0" smtClean="0"/>
                            <a:t>ERP</a:t>
                          </a:r>
                          <a:r>
                            <a:rPr lang="zh-CN" altLang="en-US" sz="1300" dirty="0" smtClean="0"/>
                            <a:t>系统整合</a:t>
                          </a:r>
                          <a:endParaRPr lang="en-US" altLang="zh-CN" sz="1300" dirty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客户门户整合</a:t>
                          </a:r>
                          <a:endParaRPr lang="en-US" altLang="zh-CN" sz="1300" dirty="0"/>
                        </a:p>
                      </a:txBody>
                      <a:useSpRect/>
                    </a:txSp>
                  </a:sp>
                  <a:pic>
                    <a:nvPicPr>
                      <a:cNvPr id="11" name="Picture 97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916488" y="2354263"/>
                        <a:ext cx="2808287" cy="1155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dist="38100" dir="2700000" rotWithShape="0">
                          <a:srgbClr val="808080">
                            <a:alpha val="42998"/>
                          </a:srgbClr>
                        </a:outerShdw>
                      </a:effectLst>
                    </a:spPr>
                  </a:pic>
                  <a:sp>
                    <a:nvSpPr>
                      <a:cNvPr id="12" name="Text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38725" y="2582863"/>
                        <a:ext cx="2101850" cy="6650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64291" tIns="32146" rIns="64291" bIns="32146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整合解决方案</a:t>
                          </a:r>
                          <a:endParaRPr lang="en-US" altLang="zh-CN" sz="1300" dirty="0" smtClean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热线服务</a:t>
                          </a:r>
                          <a:endParaRPr lang="en-US" altLang="zh-CN" sz="1300" dirty="0" smtClean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邮件答复</a:t>
                          </a:r>
                          <a:endParaRPr lang="en-US" altLang="zh-CN" sz="1300" dirty="0"/>
                        </a:p>
                      </a:txBody>
                      <a:useSpRect/>
                    </a:txSp>
                  </a:sp>
                  <a:pic>
                    <a:nvPicPr>
                      <a:cNvPr id="13" name="Picture 97"/>
                      <a:cNvPicPr>
                        <a:picLocks noChangeAspect="1" noChangeArrowheads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854575" y="1001713"/>
                        <a:ext cx="2806700" cy="1154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dist="38100" dir="2700000" rotWithShape="0">
                          <a:srgbClr val="808080">
                            <a:alpha val="42998"/>
                          </a:srgbClr>
                        </a:outerShdw>
                      </a:effectLst>
                    </a:spPr>
                  </a:pic>
                  <a:sp>
                    <a:nvSpPr>
                      <a:cNvPr id="14" name="Text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24438" y="1235074"/>
                        <a:ext cx="2262206" cy="6650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 lIns="64291" tIns="32146" rIns="64291" bIns="32146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宋体" pitchFamily="2" charset="-122"/>
                              <a:cs typeface="+mn-cs"/>
                            </a:defRPr>
                          </a:lvl9pPr>
                        </a:lstStyle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项目计划</a:t>
                          </a:r>
                          <a:endParaRPr lang="en-US" altLang="zh-CN" sz="1300" dirty="0" smtClean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基本设置</a:t>
                          </a:r>
                          <a:endParaRPr lang="en-US" altLang="zh-CN" sz="1300" dirty="0" smtClean="0"/>
                        </a:p>
                        <a:p>
                          <a:pPr lvl="1">
                            <a:buFont typeface="Arial" pitchFamily="34" charset="0"/>
                            <a:buChar char="•"/>
                          </a:pPr>
                          <a:r>
                            <a:rPr lang="zh-CN" altLang="en-US" sz="1300" dirty="0" smtClean="0"/>
                            <a:t>定制化服务</a:t>
                          </a:r>
                          <a:endParaRPr lang="en-US" altLang="zh-CN" sz="13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A6C2E" w:rsidRDefault="002A6C2E" w:rsidP="008312F5"/>
    <w:p w:rsidR="004151BA" w:rsidRPr="004151BA" w:rsidRDefault="006A3F84" w:rsidP="004151BA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我们的优势</w:t>
      </w:r>
    </w:p>
    <w:p w:rsidR="004151BA" w:rsidRPr="004151BA" w:rsidRDefault="004151BA" w:rsidP="004151BA">
      <w:pPr>
        <w:spacing w:line="300" w:lineRule="auto"/>
        <w:rPr>
          <w:rFonts w:asciiTheme="majorEastAsia" w:eastAsiaTheme="majorEastAsia" w:hAnsiTheme="majorEastAsia"/>
        </w:rPr>
      </w:pPr>
      <w:r w:rsidRPr="004151BA">
        <w:rPr>
          <w:rFonts w:asciiTheme="majorEastAsia" w:eastAsiaTheme="majorEastAsia" w:hAnsiTheme="majorEastAsia" w:hint="eastAsia"/>
        </w:rPr>
        <w:t>作为Salesforce.com 在中国的最优秀的合作伙伴之一，自创办以来，公司坚持不断改进自己的技术水平，如今在大中华和亚太地区已经拥有超过40个的跨国企业客户，其中包括：英国巴克莱银行、恒生银行、</w:t>
      </w:r>
      <w:r w:rsidR="00567002">
        <w:rPr>
          <w:rFonts w:asciiTheme="majorEastAsia" w:eastAsiaTheme="majorEastAsia" w:hAnsiTheme="majorEastAsia" w:hint="eastAsia"/>
        </w:rPr>
        <w:t>GE医疗</w:t>
      </w:r>
      <w:r w:rsidRPr="004151BA">
        <w:rPr>
          <w:rFonts w:asciiTheme="majorEastAsia" w:eastAsiaTheme="majorEastAsia" w:hAnsiTheme="majorEastAsia" w:hint="eastAsia"/>
        </w:rPr>
        <w:t>、博士伦等。</w:t>
      </w:r>
    </w:p>
    <w:p w:rsidR="004151BA" w:rsidRPr="004151BA" w:rsidRDefault="004151BA" w:rsidP="004151BA">
      <w:pPr>
        <w:spacing w:line="300" w:lineRule="auto"/>
        <w:rPr>
          <w:rFonts w:asciiTheme="majorEastAsia" w:eastAsiaTheme="majorEastAsia" w:hAnsiTheme="majorEastAsia"/>
        </w:rPr>
      </w:pPr>
      <w:r w:rsidRPr="004151BA">
        <w:rPr>
          <w:rFonts w:asciiTheme="majorEastAsia" w:eastAsiaTheme="majorEastAsia" w:hAnsiTheme="majorEastAsia" w:hint="eastAsia"/>
        </w:rPr>
        <w:t>在</w:t>
      </w:r>
      <w:r w:rsidR="00567002" w:rsidRPr="004151BA">
        <w:rPr>
          <w:rFonts w:asciiTheme="majorEastAsia" w:eastAsiaTheme="majorEastAsia" w:hAnsiTheme="majorEastAsia" w:hint="eastAsia"/>
        </w:rPr>
        <w:t>Salesforce.com</w:t>
      </w:r>
      <w:r w:rsidRPr="004151BA">
        <w:rPr>
          <w:rFonts w:asciiTheme="majorEastAsia" w:eastAsiaTheme="majorEastAsia" w:hAnsiTheme="majorEastAsia" w:hint="eastAsia"/>
        </w:rPr>
        <w:t>举办的2011 年度大中华合作伙伴峰会上，我公司荣获“2010</w:t>
      </w:r>
      <w:r w:rsidR="00B429D5">
        <w:rPr>
          <w:rFonts w:asciiTheme="majorEastAsia" w:eastAsiaTheme="majorEastAsia" w:hAnsiTheme="majorEastAsia" w:hint="eastAsia"/>
        </w:rPr>
        <w:t>年度</w:t>
      </w:r>
      <w:r w:rsidRPr="004151BA">
        <w:rPr>
          <w:rFonts w:asciiTheme="majorEastAsia" w:eastAsiaTheme="majorEastAsia" w:hAnsiTheme="majorEastAsia" w:hint="eastAsia"/>
        </w:rPr>
        <w:t>最佳客户满意度”这一殊荣。</w:t>
      </w:r>
    </w:p>
    <w:p w:rsidR="00133D09" w:rsidRPr="00567002" w:rsidRDefault="00133D09" w:rsidP="008312F5"/>
    <w:p w:rsidR="00C314DC" w:rsidRPr="002A6C2E" w:rsidRDefault="00C314DC" w:rsidP="008312F5">
      <w:pPr>
        <w:rPr>
          <w:b/>
          <w:color w:val="FF0000"/>
          <w:sz w:val="24"/>
          <w:szCs w:val="24"/>
        </w:rPr>
      </w:pPr>
      <w:r w:rsidRPr="002A6C2E">
        <w:rPr>
          <w:rFonts w:hint="eastAsia"/>
          <w:b/>
          <w:color w:val="FF0000"/>
          <w:sz w:val="24"/>
          <w:szCs w:val="24"/>
        </w:rPr>
        <w:t>我们的客户</w:t>
      </w:r>
    </w:p>
    <w:p w:rsidR="00133D09" w:rsidRDefault="00C314DC" w:rsidP="008312F5">
      <w:pPr>
        <w:rPr>
          <w:noProof/>
        </w:rPr>
      </w:pPr>
      <w:r w:rsidRPr="00C314DC">
        <w:rPr>
          <w:noProof/>
        </w:rPr>
        <w:t xml:space="preserve"> </w:t>
      </w:r>
      <w:r w:rsidR="00EC20BD">
        <w:rPr>
          <w:noProof/>
        </w:rPr>
        <w:drawing>
          <wp:inline distT="0" distB="0" distL="0" distR="0">
            <wp:extent cx="5274310" cy="1889760"/>
            <wp:effectExtent l="19050" t="0" r="2540" b="0"/>
            <wp:docPr id="1" name="图片 0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8312F5">
      <w:pPr>
        <w:rPr>
          <w:noProof/>
        </w:rPr>
      </w:pPr>
    </w:p>
    <w:p w:rsidR="009D74F3" w:rsidRDefault="009D74F3" w:rsidP="009D74F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267525" cy="1773789"/>
            <wp:effectExtent l="19050" t="0" r="0" b="0"/>
            <wp:docPr id="40" name="图片 39" descr="图形LOGO透明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形LOGO透明版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7525" cy="177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352A17" w:rsidRDefault="00352A17" w:rsidP="009D74F3">
      <w:pPr>
        <w:rPr>
          <w:noProof/>
        </w:rPr>
      </w:pPr>
    </w:p>
    <w:p w:rsidR="009D74F3" w:rsidRDefault="009D74F3" w:rsidP="009D74F3">
      <w:pPr>
        <w:rPr>
          <w:noProof/>
        </w:rPr>
      </w:pPr>
    </w:p>
    <w:p w:rsidR="00567002" w:rsidRDefault="00567002" w:rsidP="009D74F3">
      <w:pPr>
        <w:rPr>
          <w:noProof/>
        </w:rPr>
      </w:pPr>
    </w:p>
    <w:p w:rsidR="00567002" w:rsidRDefault="00567002" w:rsidP="009D74F3">
      <w:pPr>
        <w:rPr>
          <w:noProof/>
        </w:rPr>
      </w:pPr>
    </w:p>
    <w:p w:rsidR="00341ACA" w:rsidRPr="00341ACA" w:rsidRDefault="00341ACA" w:rsidP="00567002">
      <w:pPr>
        <w:spacing w:line="60" w:lineRule="auto"/>
        <w:jc w:val="left"/>
        <w:rPr>
          <w:rFonts w:asciiTheme="majorHAnsi" w:eastAsiaTheme="majorEastAsia" w:hAnsiTheme="majorEastAsia" w:cs="Arial"/>
          <w:b/>
          <w:noProof/>
          <w:sz w:val="30"/>
          <w:szCs w:val="30"/>
        </w:rPr>
      </w:pPr>
      <w:r w:rsidRPr="00341ACA">
        <w:rPr>
          <w:rFonts w:asciiTheme="majorHAnsi" w:eastAsiaTheme="majorEastAsia" w:hAnsiTheme="majorEastAsia" w:cs="Arial" w:hint="eastAsia"/>
          <w:b/>
          <w:noProof/>
          <w:sz w:val="30"/>
          <w:szCs w:val="30"/>
        </w:rPr>
        <w:t>上海睿远软件信息咨询有限公司（</w:t>
      </w:r>
      <w:r w:rsidRPr="00341ACA">
        <w:rPr>
          <w:rFonts w:asciiTheme="majorHAnsi" w:eastAsiaTheme="majorEastAsia" w:hAnsiTheme="majorEastAsia" w:cs="Arial" w:hint="eastAsia"/>
          <w:b/>
          <w:noProof/>
          <w:sz w:val="30"/>
          <w:szCs w:val="30"/>
        </w:rPr>
        <w:t>Breakingpoint Consulting</w:t>
      </w:r>
      <w:r w:rsidRPr="00341ACA">
        <w:rPr>
          <w:rFonts w:asciiTheme="majorHAnsi" w:eastAsiaTheme="majorEastAsia" w:hAnsiTheme="majorEastAsia" w:cs="Arial" w:hint="eastAsia"/>
          <w:b/>
          <w:noProof/>
          <w:sz w:val="30"/>
          <w:szCs w:val="30"/>
        </w:rPr>
        <w:t>）</w:t>
      </w:r>
    </w:p>
    <w:p w:rsidR="009D74F3" w:rsidRPr="00567002" w:rsidRDefault="00567002" w:rsidP="00567002">
      <w:pPr>
        <w:spacing w:line="60" w:lineRule="auto"/>
        <w:jc w:val="left"/>
        <w:rPr>
          <w:rFonts w:asciiTheme="majorHAnsi" w:eastAsiaTheme="majorEastAsia" w:hAnsiTheme="majorHAnsi" w:cs="Arial"/>
          <w:noProof/>
          <w:sz w:val="24"/>
          <w:szCs w:val="24"/>
        </w:rPr>
      </w:pPr>
      <w:r w:rsidRPr="00567002">
        <w:rPr>
          <w:rFonts w:asciiTheme="majorHAnsi" w:eastAsiaTheme="majorEastAsia" w:hAnsiTheme="majorEastAsia" w:cs="Arial"/>
          <w:noProof/>
          <w:sz w:val="24"/>
          <w:szCs w:val="24"/>
        </w:rPr>
        <w:t>中国上海市徐汇区南丹东路</w:t>
      </w:r>
      <w:r w:rsidRPr="00567002">
        <w:rPr>
          <w:rFonts w:asciiTheme="majorHAnsi" w:eastAsiaTheme="majorEastAsia" w:hAnsiTheme="majorHAnsi" w:cs="Arial"/>
          <w:noProof/>
          <w:sz w:val="24"/>
          <w:szCs w:val="24"/>
        </w:rPr>
        <w:t>238</w:t>
      </w:r>
      <w:r w:rsidRPr="00567002">
        <w:rPr>
          <w:rFonts w:asciiTheme="majorHAnsi" w:eastAsiaTheme="majorEastAsia" w:hAnsiTheme="majorEastAsia" w:cs="Arial"/>
          <w:noProof/>
          <w:sz w:val="24"/>
          <w:szCs w:val="24"/>
        </w:rPr>
        <w:t>号金轩大厦</w:t>
      </w:r>
      <w:r w:rsidRPr="00567002">
        <w:rPr>
          <w:rFonts w:asciiTheme="majorHAnsi" w:eastAsiaTheme="majorEastAsia" w:hAnsiTheme="majorHAnsi" w:cs="Arial"/>
          <w:noProof/>
          <w:sz w:val="24"/>
          <w:szCs w:val="24"/>
        </w:rPr>
        <w:t>18</w:t>
      </w:r>
      <w:r w:rsidRPr="00567002">
        <w:rPr>
          <w:rFonts w:asciiTheme="majorHAnsi" w:eastAsiaTheme="majorEastAsia" w:hAnsiTheme="majorEastAsia" w:cs="Arial"/>
          <w:noProof/>
          <w:sz w:val="24"/>
          <w:szCs w:val="24"/>
        </w:rPr>
        <w:t>楼</w:t>
      </w:r>
      <w:r w:rsidRPr="00567002">
        <w:rPr>
          <w:rFonts w:asciiTheme="majorHAnsi" w:eastAsiaTheme="majorEastAsia" w:hAnsiTheme="majorHAnsi" w:cs="Arial"/>
          <w:noProof/>
          <w:sz w:val="24"/>
          <w:szCs w:val="24"/>
        </w:rPr>
        <w:t>D</w:t>
      </w:r>
      <w:r w:rsidRPr="00567002">
        <w:rPr>
          <w:rFonts w:asciiTheme="majorHAnsi" w:eastAsiaTheme="majorEastAsia" w:hAnsiTheme="majorEastAsia" w:cs="Arial"/>
          <w:noProof/>
          <w:sz w:val="24"/>
          <w:szCs w:val="24"/>
        </w:rPr>
        <w:t>座</w:t>
      </w:r>
      <w:r w:rsidRPr="00567002">
        <w:rPr>
          <w:rFonts w:asciiTheme="majorHAnsi" w:eastAsiaTheme="majorEastAsia" w:hAnsiTheme="majorHAnsi" w:cs="Arial"/>
          <w:noProof/>
          <w:sz w:val="24"/>
          <w:szCs w:val="24"/>
        </w:rPr>
        <w:t xml:space="preserve"> 200030</w:t>
      </w:r>
    </w:p>
    <w:p w:rsidR="009D74F3" w:rsidRPr="00567002" w:rsidRDefault="00567002" w:rsidP="007F6724">
      <w:pPr>
        <w:spacing w:line="60" w:lineRule="auto"/>
        <w:jc w:val="left"/>
        <w:rPr>
          <w:rFonts w:asciiTheme="majorHAnsi" w:eastAsiaTheme="majorEastAsia" w:hAnsiTheme="majorHAnsi" w:cs="Arial"/>
          <w:noProof/>
          <w:sz w:val="24"/>
          <w:szCs w:val="24"/>
        </w:rPr>
      </w:pPr>
      <w:r w:rsidRPr="00567002">
        <w:rPr>
          <w:rFonts w:asciiTheme="majorHAnsi" w:eastAsiaTheme="majorEastAsia" w:hAnsiTheme="majorEastAsia" w:cs="Arial"/>
          <w:noProof/>
          <w:sz w:val="24"/>
          <w:szCs w:val="24"/>
        </w:rPr>
        <w:t>电话</w:t>
      </w:r>
      <w:r w:rsidR="009D74F3" w:rsidRPr="00567002">
        <w:rPr>
          <w:rFonts w:asciiTheme="majorHAnsi" w:eastAsiaTheme="majorEastAsia" w:hAnsiTheme="majorEastAsia" w:cs="Arial"/>
          <w:noProof/>
          <w:sz w:val="24"/>
          <w:szCs w:val="24"/>
        </w:rPr>
        <w:t>：</w:t>
      </w:r>
      <w:r w:rsidR="009D74F3" w:rsidRPr="00567002">
        <w:rPr>
          <w:rFonts w:asciiTheme="majorHAnsi" w:eastAsiaTheme="majorEastAsia" w:hAnsiTheme="majorHAnsi" w:cs="Arial"/>
          <w:noProof/>
          <w:sz w:val="24"/>
          <w:szCs w:val="24"/>
        </w:rPr>
        <w:t>+86 021 34010561</w:t>
      </w:r>
    </w:p>
    <w:p w:rsidR="009D74F3" w:rsidRPr="00567002" w:rsidRDefault="00567002" w:rsidP="007F6724">
      <w:pPr>
        <w:spacing w:line="60" w:lineRule="auto"/>
        <w:jc w:val="left"/>
        <w:rPr>
          <w:rFonts w:asciiTheme="majorHAnsi" w:eastAsiaTheme="majorEastAsia" w:hAnsiTheme="majorHAnsi" w:cs="Arial"/>
          <w:noProof/>
          <w:sz w:val="24"/>
          <w:szCs w:val="24"/>
        </w:rPr>
      </w:pPr>
      <w:r w:rsidRPr="00567002">
        <w:rPr>
          <w:rFonts w:asciiTheme="majorHAnsi" w:eastAsiaTheme="majorEastAsia" w:hAnsiTheme="majorEastAsia" w:cs="Arial"/>
          <w:noProof/>
          <w:sz w:val="24"/>
          <w:szCs w:val="24"/>
        </w:rPr>
        <w:t>热线</w:t>
      </w:r>
      <w:r w:rsidR="009D74F3" w:rsidRPr="00567002">
        <w:rPr>
          <w:rFonts w:asciiTheme="majorHAnsi" w:eastAsiaTheme="majorEastAsia" w:hAnsiTheme="majorEastAsia" w:cs="Arial"/>
          <w:noProof/>
          <w:sz w:val="24"/>
          <w:szCs w:val="24"/>
        </w:rPr>
        <w:t>：</w:t>
      </w:r>
      <w:r w:rsidR="009D74F3" w:rsidRPr="00567002">
        <w:rPr>
          <w:rFonts w:asciiTheme="majorHAnsi" w:eastAsiaTheme="majorEastAsia" w:hAnsiTheme="majorHAnsi" w:cs="Arial"/>
          <w:noProof/>
          <w:sz w:val="24"/>
          <w:szCs w:val="24"/>
        </w:rPr>
        <w:t xml:space="preserve">+86-400-820-SFDC </w:t>
      </w:r>
      <w:r w:rsidR="00352A17" w:rsidRPr="00567002">
        <w:rPr>
          <w:rFonts w:asciiTheme="majorHAnsi" w:eastAsiaTheme="majorEastAsia" w:hAnsiTheme="majorHAnsi" w:cs="Arial"/>
          <w:noProof/>
          <w:sz w:val="24"/>
          <w:szCs w:val="24"/>
        </w:rPr>
        <w:t xml:space="preserve"> </w:t>
      </w:r>
      <w:r w:rsidR="009D74F3" w:rsidRPr="00567002">
        <w:rPr>
          <w:rFonts w:asciiTheme="majorHAnsi" w:eastAsiaTheme="majorEastAsia" w:hAnsiTheme="majorHAnsi" w:cs="Arial"/>
          <w:noProof/>
          <w:sz w:val="24"/>
          <w:szCs w:val="24"/>
        </w:rPr>
        <w:t>+86-400-820-7332</w:t>
      </w:r>
    </w:p>
    <w:p w:rsidR="009D74F3" w:rsidRPr="00567002" w:rsidRDefault="00567002" w:rsidP="007F6724">
      <w:pPr>
        <w:spacing w:line="60" w:lineRule="auto"/>
        <w:jc w:val="left"/>
        <w:rPr>
          <w:rFonts w:asciiTheme="majorHAnsi" w:eastAsiaTheme="majorEastAsia" w:hAnsiTheme="majorHAnsi" w:cs="Arial"/>
          <w:noProof/>
          <w:sz w:val="24"/>
          <w:szCs w:val="24"/>
        </w:rPr>
      </w:pPr>
      <w:r w:rsidRPr="00567002">
        <w:rPr>
          <w:rFonts w:asciiTheme="majorHAnsi" w:eastAsiaTheme="majorEastAsia" w:hAnsiTheme="majorEastAsia" w:cs="Arial"/>
          <w:noProof/>
          <w:sz w:val="24"/>
          <w:szCs w:val="24"/>
        </w:rPr>
        <w:t>网址</w:t>
      </w:r>
      <w:r w:rsidR="009D74F3" w:rsidRPr="00567002">
        <w:rPr>
          <w:rFonts w:asciiTheme="majorHAnsi" w:eastAsiaTheme="majorEastAsia" w:hAnsiTheme="majorEastAsia" w:cs="Arial"/>
          <w:noProof/>
          <w:sz w:val="24"/>
          <w:szCs w:val="24"/>
        </w:rPr>
        <w:t>：</w:t>
      </w:r>
      <w:r w:rsidR="009D74F3" w:rsidRPr="00567002">
        <w:rPr>
          <w:rFonts w:asciiTheme="majorHAnsi" w:eastAsiaTheme="majorEastAsia" w:hAnsiTheme="majorHAnsi" w:cs="Arial"/>
          <w:noProof/>
          <w:sz w:val="24"/>
          <w:szCs w:val="24"/>
        </w:rPr>
        <w:t>www.ibreakingpoint.com</w:t>
      </w:r>
    </w:p>
    <w:sectPr w:rsidR="009D74F3" w:rsidRPr="00567002" w:rsidSect="004F5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EE4" w:rsidRDefault="00165EE4" w:rsidP="009B31EE">
      <w:r>
        <w:separator/>
      </w:r>
    </w:p>
  </w:endnote>
  <w:endnote w:type="continuationSeparator" w:id="1">
    <w:p w:rsidR="00165EE4" w:rsidRDefault="00165EE4" w:rsidP="009B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EE4" w:rsidRDefault="00165EE4" w:rsidP="009B31EE">
      <w:r>
        <w:separator/>
      </w:r>
    </w:p>
  </w:footnote>
  <w:footnote w:type="continuationSeparator" w:id="1">
    <w:p w:rsidR="00165EE4" w:rsidRDefault="00165EE4" w:rsidP="009B3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9F5"/>
    <w:multiLevelType w:val="hybridMultilevel"/>
    <w:tmpl w:val="74F42CB0"/>
    <w:lvl w:ilvl="0" w:tplc="B492E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416E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3AD68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B29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A044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FB82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1FE8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9F4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8722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BD56555"/>
    <w:multiLevelType w:val="hybridMultilevel"/>
    <w:tmpl w:val="5C7C7BB0"/>
    <w:lvl w:ilvl="0" w:tplc="C012F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3669D8"/>
    <w:multiLevelType w:val="hybridMultilevel"/>
    <w:tmpl w:val="0ADE3A48"/>
    <w:lvl w:ilvl="0" w:tplc="CF044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B0555"/>
    <w:multiLevelType w:val="multilevel"/>
    <w:tmpl w:val="9168D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F715B8B"/>
    <w:multiLevelType w:val="multilevel"/>
    <w:tmpl w:val="6D0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525"/>
    <w:rsid w:val="0007074D"/>
    <w:rsid w:val="001153EA"/>
    <w:rsid w:val="00133D09"/>
    <w:rsid w:val="00135A45"/>
    <w:rsid w:val="00165EE4"/>
    <w:rsid w:val="00184A5B"/>
    <w:rsid w:val="001B1AD3"/>
    <w:rsid w:val="00254A45"/>
    <w:rsid w:val="00292642"/>
    <w:rsid w:val="002A656A"/>
    <w:rsid w:val="002A6C2E"/>
    <w:rsid w:val="00333FAB"/>
    <w:rsid w:val="00341ACA"/>
    <w:rsid w:val="00352A17"/>
    <w:rsid w:val="004139D5"/>
    <w:rsid w:val="004151BA"/>
    <w:rsid w:val="004F5139"/>
    <w:rsid w:val="00567002"/>
    <w:rsid w:val="005D4AFC"/>
    <w:rsid w:val="006A3F84"/>
    <w:rsid w:val="006C53DE"/>
    <w:rsid w:val="006D2DE6"/>
    <w:rsid w:val="00787954"/>
    <w:rsid w:val="007F6724"/>
    <w:rsid w:val="008057F2"/>
    <w:rsid w:val="00807499"/>
    <w:rsid w:val="008312F5"/>
    <w:rsid w:val="0084626D"/>
    <w:rsid w:val="00856CE0"/>
    <w:rsid w:val="00890525"/>
    <w:rsid w:val="0089396E"/>
    <w:rsid w:val="008F45A8"/>
    <w:rsid w:val="009372CD"/>
    <w:rsid w:val="00951562"/>
    <w:rsid w:val="0095349E"/>
    <w:rsid w:val="009B31EE"/>
    <w:rsid w:val="009D74F3"/>
    <w:rsid w:val="00A33CE5"/>
    <w:rsid w:val="00AE0C11"/>
    <w:rsid w:val="00B36561"/>
    <w:rsid w:val="00B429D5"/>
    <w:rsid w:val="00B60A1E"/>
    <w:rsid w:val="00C26BB3"/>
    <w:rsid w:val="00C314DC"/>
    <w:rsid w:val="00C5569B"/>
    <w:rsid w:val="00D4577B"/>
    <w:rsid w:val="00E028D1"/>
    <w:rsid w:val="00E62B32"/>
    <w:rsid w:val="00E676E5"/>
    <w:rsid w:val="00E846E3"/>
    <w:rsid w:val="00EB30A4"/>
    <w:rsid w:val="00EC20BD"/>
    <w:rsid w:val="00F84A10"/>
    <w:rsid w:val="00FA0E28"/>
    <w:rsid w:val="00FC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05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0525"/>
    <w:rPr>
      <w:sz w:val="18"/>
      <w:szCs w:val="18"/>
    </w:rPr>
  </w:style>
  <w:style w:type="paragraph" w:styleId="a4">
    <w:name w:val="List Paragraph"/>
    <w:basedOn w:val="a"/>
    <w:uiPriority w:val="34"/>
    <w:qFormat/>
    <w:rsid w:val="008312F5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9B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B31E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B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B31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2011-08-11T07:02:00Z</dcterms:created>
  <dcterms:modified xsi:type="dcterms:W3CDTF">2011-08-19T08:16:00Z</dcterms:modified>
</cp:coreProperties>
</file>