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66" w:rsidRDefault="00242566" w:rsidP="00AA1689">
      <w:pPr>
        <w:jc w:val="center"/>
        <w:rPr>
          <w:rFonts w:ascii="Eras Bold ITC" w:eastAsiaTheme="minorEastAsia" w:hAnsi="Eras Bold ITC"/>
          <w:b/>
          <w:i/>
          <w:color w:val="000000" w:themeColor="text1"/>
          <w:sz w:val="28"/>
          <w:szCs w:val="28"/>
        </w:rPr>
      </w:pPr>
    </w:p>
    <w:p w:rsidR="00242566" w:rsidRDefault="00EB4605" w:rsidP="00AA1689">
      <w:pPr>
        <w:jc w:val="center"/>
        <w:rPr>
          <w:rFonts w:ascii="Eras Bold ITC" w:eastAsiaTheme="minorEastAsia" w:hAnsi="Eras Bold ITC"/>
          <w:b/>
          <w:i/>
          <w:color w:val="000000" w:themeColor="text1"/>
          <w:sz w:val="28"/>
          <w:szCs w:val="28"/>
        </w:rPr>
      </w:pPr>
      <w:r w:rsidRPr="00EB4605">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64.8pt;margin-top:5.7pt;width:420pt;height:130.2pt;z-index:-251658752" fillcolor="black">
            <v:fill color2="fill darken(153)" angle="-90" focusposition="1" focussize="" method="linear sigma" focus="100%" type="gradient"/>
            <v:shadow color="#868686"/>
            <v:textpath style="font-family:&quot;Arial Black&quot;" fitshape="t" trim="t" string="创享未来，权在你手"/>
          </v:shape>
        </w:pict>
      </w:r>
    </w:p>
    <w:p w:rsidR="00A14F7A" w:rsidRDefault="00A14F7A" w:rsidP="006D7D82">
      <w:pPr>
        <w:ind w:firstLine="0"/>
        <w:rPr>
          <w:rFonts w:ascii="楷体" w:eastAsia="楷体" w:hAnsi="楷体"/>
          <w:b/>
          <w:i/>
          <w:color w:val="FFC000"/>
          <w:sz w:val="52"/>
          <w:szCs w:val="52"/>
        </w:rPr>
      </w:pPr>
    </w:p>
    <w:p w:rsidR="008B4897" w:rsidRPr="007F5069" w:rsidRDefault="00A14F7A" w:rsidP="006D7D82">
      <w:pPr>
        <w:ind w:firstLine="0"/>
        <w:rPr>
          <w:rFonts w:ascii="Arial" w:eastAsiaTheme="majorEastAsia" w:hAnsi="Arial" w:cs="Arial"/>
          <w:b/>
          <w:sz w:val="32"/>
          <w:szCs w:val="32"/>
        </w:rPr>
      </w:pPr>
      <w:r>
        <w:rPr>
          <w:rFonts w:ascii="楷体" w:eastAsia="楷体" w:hAnsi="楷体" w:hint="eastAsia"/>
          <w:b/>
          <w:i/>
          <w:color w:val="FFC000"/>
          <w:sz w:val="52"/>
          <w:szCs w:val="52"/>
        </w:rPr>
        <w:t xml:space="preserve">   </w:t>
      </w:r>
      <w:r w:rsidR="000A44DD" w:rsidRPr="000A44DD">
        <w:rPr>
          <w:rFonts w:ascii="Arial" w:eastAsiaTheme="majorEastAsia" w:hAnsiTheme="majorEastAsia" w:cs="Arial" w:hint="eastAsia"/>
          <w:b/>
          <w:sz w:val="32"/>
          <w:szCs w:val="32"/>
        </w:rPr>
        <w:t>欢迎</w:t>
      </w:r>
      <w:r w:rsidR="006D7D82" w:rsidRPr="007F5069">
        <w:rPr>
          <w:rFonts w:ascii="Arial" w:eastAsiaTheme="majorEastAsia" w:hAnsiTheme="majorEastAsia" w:cs="Arial"/>
          <w:b/>
          <w:sz w:val="32"/>
          <w:szCs w:val="32"/>
        </w:rPr>
        <w:t>加入</w:t>
      </w:r>
      <w:r w:rsidR="006D7D82" w:rsidRPr="007F5069">
        <w:rPr>
          <w:rFonts w:ascii="Arial" w:eastAsiaTheme="majorEastAsia" w:hAnsi="Arial" w:cs="Arial"/>
          <w:b/>
          <w:color w:val="000000" w:themeColor="text1"/>
          <w:sz w:val="32"/>
          <w:szCs w:val="32"/>
        </w:rPr>
        <w:t>TÜV SÜD</w:t>
      </w:r>
      <w:r w:rsidR="007F5069" w:rsidRPr="007F5069">
        <w:rPr>
          <w:rFonts w:ascii="Arial" w:eastAsiaTheme="majorEastAsia" w:hAnsi="Arial" w:cs="Arial"/>
          <w:b/>
          <w:color w:val="000000" w:themeColor="text1"/>
          <w:sz w:val="32"/>
          <w:szCs w:val="32"/>
        </w:rPr>
        <w:t xml:space="preserve"> </w:t>
      </w:r>
      <w:r w:rsidR="007F5069" w:rsidRPr="007F5069">
        <w:rPr>
          <w:rFonts w:ascii="Arial" w:eastAsiaTheme="majorEastAsia" w:hAnsi="Arial" w:cs="Arial"/>
          <w:b/>
          <w:sz w:val="32"/>
          <w:szCs w:val="32"/>
        </w:rPr>
        <w:t>2012</w:t>
      </w:r>
      <w:r w:rsidR="007F5069" w:rsidRPr="007F5069">
        <w:rPr>
          <w:rFonts w:ascii="Arial" w:eastAsiaTheme="majorEastAsia" w:hAnsiTheme="majorEastAsia" w:cs="Arial"/>
          <w:b/>
          <w:color w:val="000000" w:themeColor="text1"/>
          <w:sz w:val="32"/>
          <w:szCs w:val="32"/>
        </w:rPr>
        <w:t>暑期实习生</w:t>
      </w:r>
      <w:r w:rsidR="006D7D82" w:rsidRPr="007F5069">
        <w:rPr>
          <w:rFonts w:ascii="Arial" w:eastAsiaTheme="majorEastAsia" w:hAnsiTheme="majorEastAsia" w:cs="Arial"/>
          <w:b/>
          <w:color w:val="000000" w:themeColor="text1"/>
          <w:sz w:val="32"/>
          <w:szCs w:val="32"/>
        </w:rPr>
        <w:t>校园招聘，挑战不一样的人生</w:t>
      </w:r>
    </w:p>
    <w:p w:rsidR="007F5069" w:rsidRPr="0079093E" w:rsidRDefault="007F5069" w:rsidP="0079093E">
      <w:pPr>
        <w:spacing w:line="480" w:lineRule="auto"/>
        <w:ind w:firstLine="0"/>
        <w:jc w:val="center"/>
        <w:rPr>
          <w:rFonts w:ascii="黑体" w:eastAsia="黑体" w:hAnsi="黑体"/>
          <w:b/>
          <w:sz w:val="36"/>
          <w:szCs w:val="36"/>
        </w:rPr>
      </w:pPr>
      <w:r w:rsidRPr="007F5069">
        <w:rPr>
          <w:rFonts w:ascii="黑体" w:eastAsia="黑体" w:hAnsi="黑体" w:hint="eastAsia"/>
          <w:b/>
          <w:sz w:val="36"/>
          <w:szCs w:val="36"/>
        </w:rPr>
        <w:t>通过实习期可在毕业后转正</w:t>
      </w:r>
    </w:p>
    <w:p w:rsidR="00AB16B2" w:rsidRPr="00F158AD" w:rsidRDefault="004033D3" w:rsidP="00F158AD">
      <w:pPr>
        <w:pStyle w:val="a8"/>
        <w:numPr>
          <w:ilvl w:val="0"/>
          <w:numId w:val="8"/>
        </w:numPr>
        <w:ind w:firstLineChars="0"/>
        <w:rPr>
          <w:rFonts w:asciiTheme="minorEastAsia" w:eastAsiaTheme="minorEastAsia" w:hAnsiTheme="minorEastAsia"/>
          <w:b/>
          <w:sz w:val="28"/>
          <w:szCs w:val="28"/>
        </w:rPr>
      </w:pPr>
      <w:r w:rsidRPr="00F158AD">
        <w:rPr>
          <w:rFonts w:asciiTheme="minorEastAsia" w:eastAsiaTheme="minorEastAsia" w:hAnsiTheme="minorEastAsia" w:hint="eastAsia"/>
          <w:b/>
          <w:sz w:val="28"/>
          <w:szCs w:val="28"/>
        </w:rPr>
        <w:t>公司简介：</w:t>
      </w:r>
    </w:p>
    <w:p w:rsidR="00AD3804" w:rsidRPr="007F5069" w:rsidRDefault="00820797" w:rsidP="004D540A">
      <w:pPr>
        <w:ind w:firstLineChars="200" w:firstLine="480"/>
        <w:rPr>
          <w:rFonts w:asciiTheme="minorHAnsi" w:eastAsia="黑体" w:hAnsiTheme="minorHAnsi" w:cstheme="minorHAnsi"/>
          <w:sz w:val="24"/>
          <w:szCs w:val="24"/>
        </w:rPr>
      </w:pPr>
      <w:r w:rsidRPr="007F5069">
        <w:rPr>
          <w:rFonts w:asciiTheme="minorHAnsi" w:eastAsia="黑体" w:hAnsiTheme="minorHAnsi" w:cstheme="minorHAnsi"/>
          <w:color w:val="000000" w:themeColor="text1"/>
          <w:sz w:val="24"/>
          <w:szCs w:val="24"/>
        </w:rPr>
        <w:t>TÜV</w:t>
      </w:r>
      <w:r w:rsidR="00AD3804" w:rsidRPr="007F5069">
        <w:rPr>
          <w:rFonts w:asciiTheme="minorHAnsi" w:eastAsia="黑体" w:hAnsi="黑体" w:cstheme="minorHAnsi"/>
          <w:sz w:val="24"/>
          <w:szCs w:val="24"/>
        </w:rPr>
        <w:t>南德意志集团</w:t>
      </w:r>
      <w:r w:rsidR="00A3290C" w:rsidRPr="007F5069">
        <w:rPr>
          <w:rFonts w:asciiTheme="minorHAnsi" w:eastAsia="黑体" w:hAnsiTheme="minorHAnsi" w:cstheme="minorHAnsi"/>
          <w:sz w:val="24"/>
          <w:szCs w:val="24"/>
        </w:rPr>
        <w:t>140</w:t>
      </w:r>
      <w:r w:rsidR="009D31B9" w:rsidRPr="007F5069">
        <w:rPr>
          <w:rFonts w:asciiTheme="minorHAnsi" w:eastAsia="黑体" w:hAnsi="黑体" w:cstheme="minorHAnsi"/>
          <w:sz w:val="24"/>
          <w:szCs w:val="24"/>
        </w:rPr>
        <w:t>多</w:t>
      </w:r>
      <w:r w:rsidR="00A3290C" w:rsidRPr="007F5069">
        <w:rPr>
          <w:rFonts w:asciiTheme="minorHAnsi" w:eastAsia="黑体" w:hAnsi="黑体" w:cstheme="minorHAnsi"/>
          <w:sz w:val="24"/>
          <w:szCs w:val="24"/>
        </w:rPr>
        <w:t>年前诞生于德国，是德国最知名品牌之一。我们从</w:t>
      </w:r>
      <w:r w:rsidR="00AD3804" w:rsidRPr="007F5069">
        <w:rPr>
          <w:rFonts w:asciiTheme="minorHAnsi" w:eastAsia="黑体" w:hAnsi="黑体" w:cstheme="minorHAnsi"/>
          <w:sz w:val="24"/>
          <w:szCs w:val="24"/>
        </w:rPr>
        <w:t>致力于降低技术风险的技术监督协会发展成业内领先的全球服务公司。</w:t>
      </w:r>
      <w:r w:rsidR="00A3290C" w:rsidRPr="007F5069">
        <w:rPr>
          <w:rFonts w:asciiTheme="minorHAnsi" w:eastAsia="黑体" w:hAnsi="黑体" w:cstheme="minorHAnsi"/>
          <w:sz w:val="24"/>
          <w:szCs w:val="24"/>
        </w:rPr>
        <w:t>主要</w:t>
      </w:r>
      <w:r w:rsidR="00AD3804" w:rsidRPr="007F5069">
        <w:rPr>
          <w:rFonts w:asciiTheme="minorHAnsi" w:eastAsia="黑体" w:hAnsi="黑体" w:cstheme="minorHAnsi"/>
          <w:sz w:val="24"/>
          <w:szCs w:val="24"/>
        </w:rPr>
        <w:t>为客户提供资讯，检验，测试，专家意见，认证和培训服务。</w:t>
      </w:r>
      <w:r w:rsidR="00AD3804" w:rsidRPr="007F5069">
        <w:rPr>
          <w:rFonts w:asciiTheme="minorHAnsi" w:eastAsia="黑体" w:hAnsiTheme="minorHAnsi" w:cstheme="minorHAnsi"/>
          <w:sz w:val="24"/>
          <w:szCs w:val="24"/>
        </w:rPr>
        <w:t>“</w:t>
      </w:r>
      <w:r w:rsidR="00AD3804" w:rsidRPr="007F5069">
        <w:rPr>
          <w:rFonts w:asciiTheme="minorHAnsi" w:eastAsia="黑体" w:hAnsi="黑体" w:cstheme="minorHAnsi"/>
          <w:b/>
          <w:sz w:val="24"/>
          <w:szCs w:val="24"/>
        </w:rPr>
        <w:t>权威认证，创享价值</w:t>
      </w:r>
      <w:r w:rsidR="00AD3804" w:rsidRPr="007F5069">
        <w:rPr>
          <w:rFonts w:asciiTheme="minorHAnsi" w:eastAsia="黑体" w:hAnsiTheme="minorHAnsi" w:cstheme="minorHAnsi"/>
          <w:sz w:val="24"/>
          <w:szCs w:val="24"/>
        </w:rPr>
        <w:t>”</w:t>
      </w:r>
      <w:r w:rsidR="00AD3804" w:rsidRPr="007F5069">
        <w:rPr>
          <w:rFonts w:asciiTheme="minorHAnsi" w:eastAsia="黑体" w:hAnsi="黑体" w:cstheme="minorHAnsi"/>
          <w:sz w:val="24"/>
          <w:szCs w:val="24"/>
        </w:rPr>
        <w:t>是</w:t>
      </w:r>
      <w:r w:rsidR="00AD3804" w:rsidRPr="007F5069">
        <w:rPr>
          <w:rFonts w:asciiTheme="minorHAnsi" w:eastAsia="黑体" w:hAnsiTheme="minorHAnsi" w:cstheme="minorHAnsi"/>
          <w:sz w:val="24"/>
          <w:szCs w:val="24"/>
        </w:rPr>
        <w:t>TÜV</w:t>
      </w:r>
      <w:r w:rsidR="00AD3804" w:rsidRPr="007F5069">
        <w:rPr>
          <w:rFonts w:asciiTheme="minorHAnsi" w:eastAsia="黑体" w:hAnsi="黑体" w:cstheme="minorHAnsi"/>
          <w:sz w:val="24"/>
          <w:szCs w:val="24"/>
        </w:rPr>
        <w:t>南德意志集团向客户提供服务的核心理念。</w:t>
      </w:r>
    </w:p>
    <w:p w:rsidR="00AD3804" w:rsidRPr="007F5069" w:rsidRDefault="00AD3804" w:rsidP="008B4897">
      <w:pPr>
        <w:ind w:firstLineChars="200" w:firstLine="480"/>
        <w:rPr>
          <w:rFonts w:asciiTheme="minorHAnsi" w:eastAsia="黑体" w:hAnsiTheme="minorHAnsi" w:cstheme="minorHAnsi"/>
          <w:sz w:val="24"/>
          <w:szCs w:val="24"/>
        </w:rPr>
      </w:pPr>
      <w:r w:rsidRPr="007F5069">
        <w:rPr>
          <w:rFonts w:asciiTheme="minorHAnsi" w:eastAsia="黑体" w:hAnsiTheme="minorHAnsi" w:cstheme="minorHAnsi"/>
          <w:sz w:val="24"/>
          <w:szCs w:val="24"/>
        </w:rPr>
        <w:t>TÜV</w:t>
      </w:r>
      <w:r w:rsidRPr="007F5069">
        <w:rPr>
          <w:rFonts w:asciiTheme="minorHAnsi" w:eastAsia="黑体" w:hAnsi="黑体" w:cstheme="minorHAnsi"/>
          <w:sz w:val="24"/>
          <w:szCs w:val="24"/>
        </w:rPr>
        <w:t>这三个字母已成为安全可信，可靠和公正的同义词。如今，</w:t>
      </w:r>
      <w:r w:rsidR="00AB16B2" w:rsidRPr="007F5069">
        <w:rPr>
          <w:rFonts w:asciiTheme="minorHAnsi" w:eastAsia="黑体" w:hAnsi="黑体" w:cstheme="minorHAnsi"/>
          <w:sz w:val="24"/>
          <w:szCs w:val="24"/>
        </w:rPr>
        <w:t>我们在全球拥有</w:t>
      </w:r>
      <w:r w:rsidR="00AB16B2" w:rsidRPr="007F5069">
        <w:rPr>
          <w:rFonts w:asciiTheme="minorHAnsi" w:eastAsia="黑体" w:hAnsiTheme="minorHAnsi" w:cstheme="minorHAnsi"/>
          <w:sz w:val="24"/>
          <w:szCs w:val="24"/>
        </w:rPr>
        <w:t>600</w:t>
      </w:r>
      <w:r w:rsidR="00AB16B2" w:rsidRPr="007F5069">
        <w:rPr>
          <w:rFonts w:asciiTheme="minorHAnsi" w:eastAsia="黑体" w:hAnsi="黑体" w:cstheme="minorHAnsi"/>
          <w:sz w:val="24"/>
          <w:szCs w:val="24"/>
        </w:rPr>
        <w:t>多个办事处和大约</w:t>
      </w:r>
      <w:r w:rsidR="002852F9" w:rsidRPr="007F5069">
        <w:rPr>
          <w:rFonts w:asciiTheme="minorHAnsi" w:eastAsia="黑体" w:hAnsiTheme="minorHAnsi" w:cstheme="minorHAnsi"/>
          <w:sz w:val="24"/>
          <w:szCs w:val="24"/>
        </w:rPr>
        <w:t>17</w:t>
      </w:r>
      <w:r w:rsidR="00AB16B2" w:rsidRPr="007F5069">
        <w:rPr>
          <w:rFonts w:asciiTheme="minorHAnsi" w:eastAsia="黑体" w:hAnsiTheme="minorHAnsi" w:cstheme="minorHAnsi"/>
          <w:sz w:val="24"/>
          <w:szCs w:val="24"/>
        </w:rPr>
        <w:t>,000</w:t>
      </w:r>
      <w:r w:rsidR="00AB16B2" w:rsidRPr="007F5069">
        <w:rPr>
          <w:rFonts w:asciiTheme="minorHAnsi" w:eastAsia="黑体" w:hAnsi="黑体" w:cstheme="minorHAnsi"/>
          <w:sz w:val="24"/>
          <w:szCs w:val="24"/>
        </w:rPr>
        <w:t>名员工。</w:t>
      </w:r>
      <w:r w:rsidR="002852F9" w:rsidRPr="007F5069">
        <w:rPr>
          <w:rFonts w:asciiTheme="minorHAnsi" w:eastAsia="黑体" w:hAnsiTheme="minorHAnsi" w:cstheme="minorHAnsi"/>
          <w:sz w:val="24"/>
          <w:szCs w:val="24"/>
        </w:rPr>
        <w:t>2011</w:t>
      </w:r>
      <w:r w:rsidR="002852F9" w:rsidRPr="007F5069">
        <w:rPr>
          <w:rFonts w:asciiTheme="minorHAnsi" w:eastAsia="黑体" w:hAnsi="黑体" w:cstheme="minorHAnsi"/>
          <w:sz w:val="24"/>
          <w:szCs w:val="24"/>
        </w:rPr>
        <w:t>年，</w:t>
      </w:r>
      <w:r w:rsidR="002852F9" w:rsidRPr="007F5069">
        <w:rPr>
          <w:rFonts w:asciiTheme="minorHAnsi" w:eastAsia="黑体" w:hAnsiTheme="minorHAnsi" w:cstheme="minorHAnsi"/>
          <w:sz w:val="24"/>
          <w:szCs w:val="24"/>
        </w:rPr>
        <w:t>TÜV</w:t>
      </w:r>
      <w:r w:rsidR="002852F9" w:rsidRPr="007F5069">
        <w:rPr>
          <w:rFonts w:asciiTheme="minorHAnsi" w:eastAsia="黑体" w:hAnsi="黑体" w:cstheme="minorHAnsi"/>
          <w:sz w:val="24"/>
          <w:szCs w:val="24"/>
        </w:rPr>
        <w:t>南德意志集团营业额约</w:t>
      </w:r>
      <w:r w:rsidR="002852F9" w:rsidRPr="007F5069">
        <w:rPr>
          <w:rFonts w:asciiTheme="minorHAnsi" w:eastAsia="黑体" w:hAnsiTheme="minorHAnsi" w:cstheme="minorHAnsi"/>
          <w:sz w:val="24"/>
          <w:szCs w:val="24"/>
        </w:rPr>
        <w:t>16.8</w:t>
      </w:r>
      <w:r w:rsidR="002852F9" w:rsidRPr="007F5069">
        <w:rPr>
          <w:rFonts w:asciiTheme="minorHAnsi" w:eastAsia="黑体" w:hAnsi="黑体" w:cstheme="minorHAnsi"/>
          <w:sz w:val="24"/>
          <w:szCs w:val="24"/>
        </w:rPr>
        <w:t>亿欧元</w:t>
      </w:r>
      <w:r w:rsidR="00AB16B2" w:rsidRPr="007F5069">
        <w:rPr>
          <w:rFonts w:asciiTheme="minorHAnsi" w:eastAsia="黑体" w:hAnsi="黑体" w:cstheme="minorHAnsi"/>
          <w:sz w:val="24"/>
          <w:szCs w:val="24"/>
        </w:rPr>
        <w:t>。</w:t>
      </w:r>
    </w:p>
    <w:p w:rsidR="0037624D" w:rsidRPr="007F5069" w:rsidRDefault="0037624D" w:rsidP="0037624D">
      <w:pPr>
        <w:spacing w:line="276" w:lineRule="auto"/>
        <w:ind w:firstLine="0"/>
        <w:jc w:val="both"/>
        <w:rPr>
          <w:rFonts w:asciiTheme="minorHAnsi" w:eastAsia="黑体" w:hAnsiTheme="minorHAnsi" w:cstheme="minorHAnsi"/>
          <w:sz w:val="24"/>
          <w:szCs w:val="24"/>
        </w:rPr>
      </w:pPr>
      <w:r w:rsidRPr="007F5069">
        <w:rPr>
          <w:rFonts w:asciiTheme="minorHAnsi" w:eastAsia="黑体" w:hAnsiTheme="minorHAnsi" w:cstheme="minorHAnsi"/>
          <w:sz w:val="24"/>
          <w:szCs w:val="24"/>
        </w:rPr>
        <w:t xml:space="preserve">    TÜV</w:t>
      </w:r>
      <w:r w:rsidRPr="007F5069">
        <w:rPr>
          <w:rFonts w:asciiTheme="minorHAnsi" w:eastAsia="黑体" w:hAnsi="黑体" w:cstheme="minorHAnsi"/>
          <w:sz w:val="24"/>
          <w:szCs w:val="24"/>
        </w:rPr>
        <w:t>南德意志集团主要服务的行业含盖了电子电气、航空、汽车、医疗、食品、能源、化工、通讯、轨道交通、纺织、大型工业设备、游乐设施等等，是值得信赖的过程伙伴，集团的服务贯穿整个产业链，始终放眼于整体商业流程，提供一站式的整</w:t>
      </w:r>
      <w:r w:rsidR="008413BE" w:rsidRPr="007F5069">
        <w:rPr>
          <w:rFonts w:asciiTheme="minorHAnsi" w:eastAsia="黑体" w:hAnsi="黑体" w:cstheme="minorHAnsi"/>
          <w:sz w:val="24"/>
          <w:szCs w:val="24"/>
        </w:rPr>
        <w:t>体</w:t>
      </w:r>
      <w:r w:rsidRPr="007F5069">
        <w:rPr>
          <w:rFonts w:asciiTheme="minorHAnsi" w:eastAsia="黑体" w:hAnsi="黑体" w:cstheme="minorHAnsi"/>
          <w:sz w:val="24"/>
          <w:szCs w:val="24"/>
        </w:rPr>
        <w:t>解决方案。</w:t>
      </w:r>
    </w:p>
    <w:p w:rsidR="004A2F6F" w:rsidRPr="0067098E" w:rsidRDefault="0037624D" w:rsidP="0067098E">
      <w:pPr>
        <w:spacing w:line="276" w:lineRule="auto"/>
        <w:ind w:left="72" w:right="-180" w:hanging="15"/>
        <w:rPr>
          <w:rFonts w:asciiTheme="minorHAnsi" w:hAnsiTheme="minorHAnsi" w:cstheme="minorHAnsi"/>
          <w:sz w:val="24"/>
          <w:szCs w:val="24"/>
        </w:rPr>
      </w:pPr>
      <w:r w:rsidRPr="007F5069">
        <w:rPr>
          <w:rFonts w:asciiTheme="minorHAnsi" w:eastAsia="黑体" w:hAnsiTheme="minorHAnsi" w:cstheme="minorHAnsi"/>
          <w:sz w:val="24"/>
          <w:szCs w:val="24"/>
        </w:rPr>
        <w:t xml:space="preserve">   TÜV</w:t>
      </w:r>
      <w:r w:rsidR="008413BE" w:rsidRPr="007F5069">
        <w:rPr>
          <w:rFonts w:asciiTheme="minorHAnsi" w:eastAsia="黑体" w:hAnsi="黑体" w:cstheme="minorHAnsi"/>
          <w:sz w:val="24"/>
          <w:szCs w:val="24"/>
        </w:rPr>
        <w:t>南德意志</w:t>
      </w:r>
      <w:r w:rsidRPr="007F5069">
        <w:rPr>
          <w:rFonts w:asciiTheme="minorHAnsi" w:eastAsia="黑体" w:hAnsi="黑体" w:cstheme="minorHAnsi"/>
          <w:sz w:val="24"/>
          <w:szCs w:val="24"/>
        </w:rPr>
        <w:t>大中华集团（</w:t>
      </w:r>
      <w:r w:rsidRPr="007F5069">
        <w:rPr>
          <w:rFonts w:asciiTheme="minorHAnsi" w:eastAsia="黑体" w:hAnsiTheme="minorHAnsi" w:cstheme="minorHAnsi"/>
          <w:sz w:val="24"/>
          <w:szCs w:val="24"/>
        </w:rPr>
        <w:t>TÜV SÜD Greater China</w:t>
      </w:r>
      <w:r w:rsidRPr="007F5069">
        <w:rPr>
          <w:rFonts w:asciiTheme="minorHAnsi" w:eastAsia="黑体" w:hAnsi="黑体" w:cstheme="minorHAnsi"/>
          <w:sz w:val="24"/>
          <w:szCs w:val="24"/>
        </w:rPr>
        <w:t>）总部设于上海，主要分布在北京、广州、香港、台北以及约</w:t>
      </w:r>
      <w:r w:rsidRPr="007F5069">
        <w:rPr>
          <w:rFonts w:asciiTheme="minorHAnsi" w:eastAsia="黑体" w:hAnsiTheme="minorHAnsi" w:cstheme="minorHAnsi"/>
          <w:sz w:val="24"/>
          <w:szCs w:val="24"/>
        </w:rPr>
        <w:t>40</w:t>
      </w:r>
      <w:r w:rsidRPr="007F5069">
        <w:rPr>
          <w:rFonts w:asciiTheme="minorHAnsi" w:eastAsia="黑体" w:hAnsi="黑体" w:cstheme="minorHAnsi"/>
          <w:sz w:val="24"/>
          <w:szCs w:val="24"/>
        </w:rPr>
        <w:t>个分支机构贯穿整个大中华区，</w:t>
      </w:r>
      <w:r w:rsidRPr="007F5069">
        <w:rPr>
          <w:rFonts w:asciiTheme="minorHAnsi" w:eastAsia="黑体" w:hAnsiTheme="minorHAnsi" w:cstheme="minorHAnsi"/>
          <w:sz w:val="24"/>
          <w:szCs w:val="24"/>
        </w:rPr>
        <w:t>TÜV</w:t>
      </w:r>
      <w:r w:rsidRPr="007F5069">
        <w:rPr>
          <w:rFonts w:asciiTheme="minorHAnsi" w:eastAsia="黑体" w:hAnsi="黑体" w:cstheme="minorHAnsi"/>
          <w:sz w:val="24"/>
          <w:szCs w:val="24"/>
        </w:rPr>
        <w:t>南德意志集团是国际贸易合作的重要支持桥梁。迄今为止，已在中国为</w:t>
      </w:r>
      <w:r w:rsidRPr="007F5069">
        <w:rPr>
          <w:rFonts w:asciiTheme="minorHAnsi" w:eastAsia="黑体" w:hAnsiTheme="minorHAnsi" w:cstheme="minorHAnsi"/>
          <w:sz w:val="24"/>
          <w:szCs w:val="24"/>
        </w:rPr>
        <w:t>20000</w:t>
      </w:r>
      <w:r w:rsidRPr="007F5069">
        <w:rPr>
          <w:rFonts w:asciiTheme="minorHAnsi" w:eastAsia="黑体" w:hAnsi="黑体" w:cstheme="minorHAnsi"/>
          <w:sz w:val="24"/>
          <w:szCs w:val="24"/>
        </w:rPr>
        <w:t>多家机构提供过服务。</w:t>
      </w:r>
    </w:p>
    <w:p w:rsidR="004A2F6F" w:rsidRPr="00F158AD" w:rsidRDefault="004A2F6F" w:rsidP="00F158AD">
      <w:pPr>
        <w:pStyle w:val="a8"/>
        <w:numPr>
          <w:ilvl w:val="0"/>
          <w:numId w:val="8"/>
        </w:numPr>
        <w:ind w:firstLineChars="0"/>
        <w:rPr>
          <w:rFonts w:asciiTheme="minorEastAsia" w:eastAsiaTheme="minorEastAsia" w:hAnsiTheme="minorEastAsia"/>
          <w:b/>
          <w:sz w:val="28"/>
          <w:szCs w:val="28"/>
        </w:rPr>
      </w:pPr>
      <w:r w:rsidRPr="00F158AD">
        <w:rPr>
          <w:rFonts w:asciiTheme="minorEastAsia" w:eastAsiaTheme="minorEastAsia" w:hAnsiTheme="minorEastAsia"/>
          <w:b/>
          <w:sz w:val="28"/>
          <w:szCs w:val="28"/>
        </w:rPr>
        <w:t>TÜV SÜD</w:t>
      </w:r>
      <w:r w:rsidRPr="00F158AD">
        <w:rPr>
          <w:rFonts w:asciiTheme="minorEastAsia" w:eastAsiaTheme="minorEastAsia" w:hAnsiTheme="minorEastAsia" w:hint="eastAsia"/>
          <w:b/>
          <w:sz w:val="28"/>
          <w:szCs w:val="28"/>
        </w:rPr>
        <w:t xml:space="preserve"> </w:t>
      </w:r>
      <w:r w:rsidR="00F91E84" w:rsidRPr="00F158AD">
        <w:rPr>
          <w:rFonts w:asciiTheme="minorEastAsia" w:eastAsiaTheme="minorEastAsia" w:hAnsiTheme="minorEastAsia" w:hint="eastAsia"/>
          <w:b/>
          <w:sz w:val="28"/>
          <w:szCs w:val="28"/>
        </w:rPr>
        <w:t>校园</w:t>
      </w:r>
      <w:r w:rsidR="00397B07">
        <w:rPr>
          <w:rFonts w:asciiTheme="minorEastAsia" w:eastAsiaTheme="minorEastAsia" w:hAnsiTheme="minorEastAsia" w:hint="eastAsia"/>
          <w:b/>
          <w:sz w:val="28"/>
          <w:szCs w:val="28"/>
        </w:rPr>
        <w:t>宣讲会</w:t>
      </w:r>
      <w:r w:rsidR="00F91E84" w:rsidRPr="00F158AD">
        <w:rPr>
          <w:rFonts w:asciiTheme="minorEastAsia" w:eastAsiaTheme="minorEastAsia" w:hAnsiTheme="minorEastAsia" w:hint="eastAsia"/>
          <w:b/>
          <w:sz w:val="28"/>
          <w:szCs w:val="28"/>
        </w:rPr>
        <w:t>行程：</w:t>
      </w:r>
    </w:p>
    <w:tbl>
      <w:tblPr>
        <w:tblW w:w="5000" w:type="pct"/>
        <w:tblLook w:val="04A0"/>
      </w:tblPr>
      <w:tblGrid>
        <w:gridCol w:w="1043"/>
        <w:gridCol w:w="2057"/>
        <w:gridCol w:w="1741"/>
        <w:gridCol w:w="2068"/>
        <w:gridCol w:w="3773"/>
      </w:tblGrid>
      <w:tr w:rsidR="0067098E" w:rsidRPr="0067098E" w:rsidTr="0067098E">
        <w:trPr>
          <w:trHeight w:val="433"/>
        </w:trPr>
        <w:tc>
          <w:tcPr>
            <w:tcW w:w="488" w:type="pct"/>
            <w:tcBorders>
              <w:top w:val="single" w:sz="4" w:space="0" w:color="auto"/>
              <w:left w:val="single" w:sz="4" w:space="0" w:color="auto"/>
              <w:bottom w:val="single" w:sz="4" w:space="0" w:color="auto"/>
              <w:right w:val="single" w:sz="4" w:space="0" w:color="auto"/>
            </w:tcBorders>
            <w:shd w:val="clear" w:color="000000" w:fill="538ED5"/>
            <w:noWrap/>
            <w:vAlign w:val="center"/>
            <w:hideMark/>
          </w:tcPr>
          <w:p w:rsidR="0067098E" w:rsidRPr="0067098E" w:rsidRDefault="0067098E" w:rsidP="0067098E">
            <w:pPr>
              <w:ind w:firstLine="0"/>
              <w:jc w:val="center"/>
              <w:rPr>
                <w:rFonts w:ascii="微软雅黑" w:eastAsia="微软雅黑" w:hAnsi="微软雅黑" w:cs="宋体"/>
                <w:b/>
                <w:bCs/>
                <w:color w:val="FFFFFF"/>
                <w:sz w:val="22"/>
                <w:szCs w:val="22"/>
              </w:rPr>
            </w:pPr>
            <w:r w:rsidRPr="0067098E">
              <w:rPr>
                <w:rFonts w:ascii="微软雅黑" w:eastAsia="微软雅黑" w:hAnsi="微软雅黑" w:cs="宋体" w:hint="eastAsia"/>
                <w:b/>
                <w:bCs/>
                <w:color w:val="FFFFFF"/>
                <w:sz w:val="22"/>
                <w:szCs w:val="22"/>
              </w:rPr>
              <w:t>城市</w:t>
            </w:r>
          </w:p>
        </w:tc>
        <w:tc>
          <w:tcPr>
            <w:tcW w:w="963" w:type="pct"/>
            <w:tcBorders>
              <w:top w:val="single" w:sz="4" w:space="0" w:color="auto"/>
              <w:left w:val="nil"/>
              <w:bottom w:val="single" w:sz="4" w:space="0" w:color="auto"/>
              <w:right w:val="single" w:sz="4" w:space="0" w:color="auto"/>
            </w:tcBorders>
            <w:shd w:val="clear" w:color="000000" w:fill="538ED5"/>
            <w:noWrap/>
            <w:vAlign w:val="center"/>
            <w:hideMark/>
          </w:tcPr>
          <w:p w:rsidR="0067098E" w:rsidRPr="0067098E" w:rsidRDefault="0067098E" w:rsidP="0067098E">
            <w:pPr>
              <w:ind w:firstLine="0"/>
              <w:jc w:val="center"/>
              <w:rPr>
                <w:rFonts w:ascii="微软雅黑" w:eastAsia="微软雅黑" w:hAnsi="微软雅黑" w:cs="宋体"/>
                <w:b/>
                <w:bCs/>
                <w:color w:val="FFFFFF"/>
                <w:sz w:val="22"/>
                <w:szCs w:val="22"/>
              </w:rPr>
            </w:pPr>
            <w:r w:rsidRPr="0067098E">
              <w:rPr>
                <w:rFonts w:ascii="微软雅黑" w:eastAsia="微软雅黑" w:hAnsi="微软雅黑" w:cs="宋体" w:hint="eastAsia"/>
                <w:b/>
                <w:bCs/>
                <w:color w:val="FFFFFF"/>
                <w:sz w:val="22"/>
                <w:szCs w:val="22"/>
              </w:rPr>
              <w:t>高校</w:t>
            </w:r>
          </w:p>
        </w:tc>
        <w:tc>
          <w:tcPr>
            <w:tcW w:w="815" w:type="pct"/>
            <w:tcBorders>
              <w:top w:val="single" w:sz="4" w:space="0" w:color="auto"/>
              <w:left w:val="nil"/>
              <w:bottom w:val="single" w:sz="4" w:space="0" w:color="auto"/>
              <w:right w:val="single" w:sz="4" w:space="0" w:color="auto"/>
            </w:tcBorders>
            <w:shd w:val="clear" w:color="000000" w:fill="538ED5"/>
            <w:noWrap/>
            <w:vAlign w:val="center"/>
            <w:hideMark/>
          </w:tcPr>
          <w:p w:rsidR="0067098E" w:rsidRPr="0067098E" w:rsidRDefault="0067098E" w:rsidP="0067098E">
            <w:pPr>
              <w:ind w:firstLine="0"/>
              <w:jc w:val="center"/>
              <w:rPr>
                <w:rFonts w:ascii="微软雅黑" w:eastAsia="微软雅黑" w:hAnsi="微软雅黑" w:cs="宋体"/>
                <w:b/>
                <w:bCs/>
                <w:color w:val="FFFFFF"/>
                <w:sz w:val="22"/>
                <w:szCs w:val="22"/>
              </w:rPr>
            </w:pPr>
            <w:r w:rsidRPr="0067098E">
              <w:rPr>
                <w:rFonts w:ascii="微软雅黑" w:eastAsia="微软雅黑" w:hAnsi="微软雅黑" w:cs="宋体" w:hint="eastAsia"/>
                <w:b/>
                <w:bCs/>
                <w:color w:val="FFFFFF"/>
                <w:sz w:val="22"/>
                <w:szCs w:val="22"/>
              </w:rPr>
              <w:t>宣讲日期</w:t>
            </w:r>
          </w:p>
        </w:tc>
        <w:tc>
          <w:tcPr>
            <w:tcW w:w="968" w:type="pct"/>
            <w:tcBorders>
              <w:top w:val="single" w:sz="4" w:space="0" w:color="auto"/>
              <w:left w:val="nil"/>
              <w:bottom w:val="single" w:sz="4" w:space="0" w:color="auto"/>
              <w:right w:val="single" w:sz="4" w:space="0" w:color="auto"/>
            </w:tcBorders>
            <w:shd w:val="clear" w:color="000000" w:fill="538ED5"/>
            <w:noWrap/>
            <w:vAlign w:val="center"/>
            <w:hideMark/>
          </w:tcPr>
          <w:p w:rsidR="0067098E" w:rsidRPr="0067098E" w:rsidRDefault="0067098E" w:rsidP="0067098E">
            <w:pPr>
              <w:ind w:firstLine="0"/>
              <w:jc w:val="center"/>
              <w:rPr>
                <w:rFonts w:ascii="微软雅黑" w:eastAsia="微软雅黑" w:hAnsi="微软雅黑" w:cs="宋体"/>
                <w:b/>
                <w:bCs/>
                <w:color w:val="FFFFFF"/>
                <w:sz w:val="22"/>
                <w:szCs w:val="22"/>
              </w:rPr>
            </w:pPr>
            <w:r w:rsidRPr="0067098E">
              <w:rPr>
                <w:rFonts w:ascii="微软雅黑" w:eastAsia="微软雅黑" w:hAnsi="微软雅黑" w:cs="宋体" w:hint="eastAsia"/>
                <w:b/>
                <w:bCs/>
                <w:color w:val="FFFFFF"/>
                <w:sz w:val="22"/>
                <w:szCs w:val="22"/>
              </w:rPr>
              <w:t>宣讲时间</w:t>
            </w:r>
          </w:p>
        </w:tc>
        <w:tc>
          <w:tcPr>
            <w:tcW w:w="1766" w:type="pct"/>
            <w:tcBorders>
              <w:top w:val="single" w:sz="4" w:space="0" w:color="auto"/>
              <w:left w:val="nil"/>
              <w:bottom w:val="single" w:sz="4" w:space="0" w:color="auto"/>
              <w:right w:val="single" w:sz="4" w:space="0" w:color="auto"/>
            </w:tcBorders>
            <w:shd w:val="clear" w:color="000000" w:fill="538ED5"/>
            <w:noWrap/>
            <w:vAlign w:val="center"/>
            <w:hideMark/>
          </w:tcPr>
          <w:p w:rsidR="0067098E" w:rsidRPr="0067098E" w:rsidRDefault="0067098E" w:rsidP="0067098E">
            <w:pPr>
              <w:ind w:firstLine="0"/>
              <w:jc w:val="center"/>
              <w:rPr>
                <w:rFonts w:ascii="微软雅黑" w:eastAsia="微软雅黑" w:hAnsi="微软雅黑" w:cs="宋体"/>
                <w:b/>
                <w:bCs/>
                <w:color w:val="FFFFFF"/>
                <w:sz w:val="22"/>
                <w:szCs w:val="22"/>
              </w:rPr>
            </w:pPr>
            <w:r w:rsidRPr="0067098E">
              <w:rPr>
                <w:rFonts w:ascii="微软雅黑" w:eastAsia="微软雅黑" w:hAnsi="微软雅黑" w:cs="宋体" w:hint="eastAsia"/>
                <w:b/>
                <w:bCs/>
                <w:color w:val="FFFFFF"/>
                <w:sz w:val="22"/>
                <w:szCs w:val="22"/>
              </w:rPr>
              <w:t>场地名称</w:t>
            </w:r>
          </w:p>
        </w:tc>
      </w:tr>
      <w:tr w:rsidR="0067098E" w:rsidRPr="0067098E" w:rsidTr="0067098E">
        <w:trPr>
          <w:trHeight w:val="285"/>
        </w:trPr>
        <w:tc>
          <w:tcPr>
            <w:tcW w:w="48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北京</w:t>
            </w:r>
          </w:p>
        </w:tc>
        <w:tc>
          <w:tcPr>
            <w:tcW w:w="963"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北京理工大学</w:t>
            </w:r>
          </w:p>
        </w:tc>
        <w:tc>
          <w:tcPr>
            <w:tcW w:w="815"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5月9日</w:t>
            </w:r>
          </w:p>
        </w:tc>
        <w:tc>
          <w:tcPr>
            <w:tcW w:w="968"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19:00--21:00</w:t>
            </w:r>
          </w:p>
        </w:tc>
        <w:tc>
          <w:tcPr>
            <w:tcW w:w="1766"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唯实报告厅</w:t>
            </w:r>
          </w:p>
        </w:tc>
      </w:tr>
      <w:tr w:rsidR="0067098E" w:rsidRPr="0067098E" w:rsidTr="0067098E">
        <w:trPr>
          <w:trHeight w:val="285"/>
        </w:trPr>
        <w:tc>
          <w:tcPr>
            <w:tcW w:w="488" w:type="pct"/>
            <w:vMerge/>
            <w:tcBorders>
              <w:top w:val="nil"/>
              <w:left w:val="single" w:sz="4" w:space="0" w:color="auto"/>
              <w:bottom w:val="single" w:sz="4" w:space="0" w:color="000000"/>
              <w:right w:val="single" w:sz="4" w:space="0" w:color="auto"/>
            </w:tcBorders>
            <w:vAlign w:val="center"/>
            <w:hideMark/>
          </w:tcPr>
          <w:p w:rsidR="0067098E" w:rsidRPr="0067098E" w:rsidRDefault="0067098E" w:rsidP="0067098E">
            <w:pPr>
              <w:ind w:firstLine="0"/>
              <w:rPr>
                <w:rFonts w:ascii="微软雅黑" w:eastAsia="微软雅黑" w:hAnsi="微软雅黑" w:cs="宋体"/>
                <w:sz w:val="18"/>
                <w:szCs w:val="18"/>
              </w:rPr>
            </w:pPr>
          </w:p>
        </w:tc>
        <w:tc>
          <w:tcPr>
            <w:tcW w:w="963"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北京工业大学</w:t>
            </w:r>
          </w:p>
        </w:tc>
        <w:tc>
          <w:tcPr>
            <w:tcW w:w="815"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5月10日</w:t>
            </w:r>
          </w:p>
        </w:tc>
        <w:tc>
          <w:tcPr>
            <w:tcW w:w="968"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18:00--20:00</w:t>
            </w:r>
          </w:p>
        </w:tc>
        <w:tc>
          <w:tcPr>
            <w:tcW w:w="1766"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知新园一层报告厅</w:t>
            </w:r>
          </w:p>
        </w:tc>
      </w:tr>
      <w:tr w:rsidR="0067098E" w:rsidRPr="0067098E" w:rsidTr="0067098E">
        <w:trPr>
          <w:trHeight w:val="285"/>
        </w:trPr>
        <w:tc>
          <w:tcPr>
            <w:tcW w:w="488"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上海</w:t>
            </w:r>
          </w:p>
        </w:tc>
        <w:tc>
          <w:tcPr>
            <w:tcW w:w="963" w:type="pct"/>
            <w:tcBorders>
              <w:top w:val="nil"/>
              <w:left w:val="nil"/>
              <w:bottom w:val="nil"/>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华东理工大学</w:t>
            </w:r>
          </w:p>
        </w:tc>
        <w:tc>
          <w:tcPr>
            <w:tcW w:w="815" w:type="pct"/>
            <w:tcBorders>
              <w:top w:val="nil"/>
              <w:left w:val="nil"/>
              <w:bottom w:val="nil"/>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5月8日</w:t>
            </w:r>
          </w:p>
        </w:tc>
        <w:tc>
          <w:tcPr>
            <w:tcW w:w="968"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18:00--20:00</w:t>
            </w:r>
          </w:p>
        </w:tc>
        <w:tc>
          <w:tcPr>
            <w:tcW w:w="1766" w:type="pct"/>
            <w:tcBorders>
              <w:top w:val="nil"/>
              <w:left w:val="nil"/>
              <w:bottom w:val="single" w:sz="4" w:space="0" w:color="auto"/>
              <w:right w:val="single" w:sz="4" w:space="0" w:color="auto"/>
            </w:tcBorders>
            <w:shd w:val="clear" w:color="000000" w:fill="FFFFFF"/>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八教206</w:t>
            </w:r>
          </w:p>
        </w:tc>
      </w:tr>
      <w:tr w:rsidR="0067098E" w:rsidRPr="0067098E" w:rsidTr="0067098E">
        <w:trPr>
          <w:trHeight w:val="285"/>
        </w:trPr>
        <w:tc>
          <w:tcPr>
            <w:tcW w:w="488" w:type="pct"/>
            <w:vMerge/>
            <w:tcBorders>
              <w:top w:val="nil"/>
              <w:left w:val="single" w:sz="4" w:space="0" w:color="auto"/>
              <w:bottom w:val="single" w:sz="4" w:space="0" w:color="auto"/>
              <w:right w:val="single" w:sz="4" w:space="0" w:color="auto"/>
            </w:tcBorders>
            <w:vAlign w:val="center"/>
            <w:hideMark/>
          </w:tcPr>
          <w:p w:rsidR="0067098E" w:rsidRPr="0067098E" w:rsidRDefault="0067098E" w:rsidP="0067098E">
            <w:pPr>
              <w:ind w:firstLine="0"/>
              <w:rPr>
                <w:rFonts w:ascii="微软雅黑" w:eastAsia="微软雅黑" w:hAnsi="微软雅黑" w:cs="宋体"/>
                <w:sz w:val="18"/>
                <w:szCs w:val="18"/>
              </w:rPr>
            </w:pPr>
          </w:p>
        </w:tc>
        <w:tc>
          <w:tcPr>
            <w:tcW w:w="963" w:type="pct"/>
            <w:tcBorders>
              <w:top w:val="single" w:sz="4" w:space="0" w:color="auto"/>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上海理工大学</w:t>
            </w:r>
          </w:p>
        </w:tc>
        <w:tc>
          <w:tcPr>
            <w:tcW w:w="815" w:type="pct"/>
            <w:tcBorders>
              <w:top w:val="single" w:sz="4" w:space="0" w:color="auto"/>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5月9日</w:t>
            </w:r>
          </w:p>
        </w:tc>
        <w:tc>
          <w:tcPr>
            <w:tcW w:w="968"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18:30--20:30</w:t>
            </w:r>
          </w:p>
        </w:tc>
        <w:tc>
          <w:tcPr>
            <w:tcW w:w="1766"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大学生发展中心职业训练厅</w:t>
            </w:r>
          </w:p>
        </w:tc>
      </w:tr>
      <w:tr w:rsidR="0067098E" w:rsidRPr="0067098E" w:rsidTr="0067098E">
        <w:trPr>
          <w:trHeight w:val="285"/>
        </w:trPr>
        <w:tc>
          <w:tcPr>
            <w:tcW w:w="488" w:type="pct"/>
            <w:vMerge/>
            <w:tcBorders>
              <w:top w:val="nil"/>
              <w:left w:val="single" w:sz="4" w:space="0" w:color="auto"/>
              <w:bottom w:val="single" w:sz="4" w:space="0" w:color="auto"/>
              <w:right w:val="single" w:sz="4" w:space="0" w:color="auto"/>
            </w:tcBorders>
            <w:vAlign w:val="center"/>
            <w:hideMark/>
          </w:tcPr>
          <w:p w:rsidR="0067098E" w:rsidRPr="0067098E" w:rsidRDefault="0067098E" w:rsidP="0067098E">
            <w:pPr>
              <w:ind w:firstLine="0"/>
              <w:rPr>
                <w:rFonts w:ascii="微软雅黑" w:eastAsia="微软雅黑" w:hAnsi="微软雅黑" w:cs="宋体"/>
                <w:sz w:val="18"/>
                <w:szCs w:val="18"/>
              </w:rPr>
            </w:pPr>
          </w:p>
        </w:tc>
        <w:tc>
          <w:tcPr>
            <w:tcW w:w="963"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上海海洋大学</w:t>
            </w:r>
          </w:p>
        </w:tc>
        <w:tc>
          <w:tcPr>
            <w:tcW w:w="815"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5月10日</w:t>
            </w:r>
          </w:p>
        </w:tc>
        <w:tc>
          <w:tcPr>
            <w:tcW w:w="968"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18:00--20:00</w:t>
            </w:r>
          </w:p>
        </w:tc>
        <w:tc>
          <w:tcPr>
            <w:tcW w:w="1766"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教学楼1101</w:t>
            </w:r>
          </w:p>
        </w:tc>
      </w:tr>
      <w:tr w:rsidR="0067098E" w:rsidRPr="0067098E" w:rsidTr="0067098E">
        <w:trPr>
          <w:trHeight w:val="285"/>
        </w:trPr>
        <w:tc>
          <w:tcPr>
            <w:tcW w:w="488" w:type="pct"/>
            <w:tcBorders>
              <w:top w:val="nil"/>
              <w:left w:val="single" w:sz="4" w:space="0" w:color="auto"/>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广州</w:t>
            </w:r>
          </w:p>
        </w:tc>
        <w:tc>
          <w:tcPr>
            <w:tcW w:w="963"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华南理工大学</w:t>
            </w:r>
          </w:p>
        </w:tc>
        <w:tc>
          <w:tcPr>
            <w:tcW w:w="815" w:type="pct"/>
            <w:tcBorders>
              <w:top w:val="nil"/>
              <w:left w:val="nil"/>
              <w:bottom w:val="single" w:sz="4" w:space="0" w:color="auto"/>
              <w:right w:val="single" w:sz="4" w:space="0" w:color="auto"/>
            </w:tcBorders>
            <w:shd w:val="clear" w:color="000000" w:fill="FFFFFF"/>
            <w:noWrap/>
            <w:vAlign w:val="center"/>
            <w:hideMark/>
          </w:tcPr>
          <w:p w:rsidR="0067098E" w:rsidRPr="0067098E" w:rsidRDefault="0067098E"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5月11日</w:t>
            </w:r>
          </w:p>
        </w:tc>
        <w:tc>
          <w:tcPr>
            <w:tcW w:w="968" w:type="pct"/>
            <w:tcBorders>
              <w:top w:val="nil"/>
              <w:left w:val="nil"/>
              <w:bottom w:val="single" w:sz="4" w:space="0" w:color="auto"/>
              <w:right w:val="single" w:sz="4" w:space="0" w:color="auto"/>
            </w:tcBorders>
            <w:shd w:val="clear" w:color="000000" w:fill="FFFFFF"/>
            <w:noWrap/>
            <w:vAlign w:val="center"/>
            <w:hideMark/>
          </w:tcPr>
          <w:p w:rsidR="0067098E" w:rsidRPr="0067098E" w:rsidRDefault="00457758" w:rsidP="0067098E">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19:00--21:00</w:t>
            </w:r>
          </w:p>
        </w:tc>
        <w:tc>
          <w:tcPr>
            <w:tcW w:w="1766" w:type="pct"/>
            <w:tcBorders>
              <w:top w:val="nil"/>
              <w:left w:val="nil"/>
              <w:bottom w:val="single" w:sz="4" w:space="0" w:color="auto"/>
              <w:right w:val="single" w:sz="4" w:space="0" w:color="auto"/>
            </w:tcBorders>
            <w:shd w:val="clear" w:color="000000" w:fill="FFFFFF"/>
            <w:noWrap/>
            <w:vAlign w:val="center"/>
            <w:hideMark/>
          </w:tcPr>
          <w:p w:rsidR="0067098E" w:rsidRPr="0067098E" w:rsidRDefault="00457758" w:rsidP="0067098E">
            <w:pPr>
              <w:ind w:firstLine="0"/>
              <w:jc w:val="center"/>
              <w:rPr>
                <w:rFonts w:ascii="微软雅黑" w:eastAsia="微软雅黑" w:hAnsi="微软雅黑" w:cs="宋体"/>
                <w:sz w:val="18"/>
                <w:szCs w:val="18"/>
              </w:rPr>
            </w:pPr>
            <w:r w:rsidRPr="00457758">
              <w:rPr>
                <w:rFonts w:ascii="微软雅黑" w:eastAsia="微软雅黑" w:hAnsi="微软雅黑" w:cs="宋体" w:hint="eastAsia"/>
                <w:sz w:val="18"/>
                <w:szCs w:val="18"/>
              </w:rPr>
              <w:t>1101报告厅</w:t>
            </w:r>
          </w:p>
        </w:tc>
      </w:tr>
      <w:tr w:rsidR="001D5849" w:rsidRPr="0067098E" w:rsidTr="001D5849">
        <w:trPr>
          <w:trHeight w:val="285"/>
        </w:trPr>
        <w:tc>
          <w:tcPr>
            <w:tcW w:w="488" w:type="pct"/>
            <w:tcBorders>
              <w:top w:val="nil"/>
              <w:left w:val="single" w:sz="4" w:space="0" w:color="auto"/>
              <w:bottom w:val="single" w:sz="4" w:space="0" w:color="auto"/>
              <w:right w:val="single" w:sz="4" w:space="0" w:color="auto"/>
            </w:tcBorders>
            <w:shd w:val="clear" w:color="000000" w:fill="FFFFFF"/>
            <w:noWrap/>
            <w:vAlign w:val="center"/>
            <w:hideMark/>
          </w:tcPr>
          <w:p w:rsidR="001D5849" w:rsidRPr="0067098E" w:rsidRDefault="001D5849" w:rsidP="007055C1">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厦门</w:t>
            </w:r>
          </w:p>
        </w:tc>
        <w:tc>
          <w:tcPr>
            <w:tcW w:w="963" w:type="pct"/>
            <w:tcBorders>
              <w:top w:val="nil"/>
              <w:left w:val="nil"/>
              <w:bottom w:val="single" w:sz="4" w:space="0" w:color="auto"/>
              <w:right w:val="single" w:sz="4" w:space="0" w:color="auto"/>
            </w:tcBorders>
            <w:shd w:val="clear" w:color="000000" w:fill="FFFFFF"/>
            <w:noWrap/>
            <w:vAlign w:val="center"/>
            <w:hideMark/>
          </w:tcPr>
          <w:p w:rsidR="001D5849" w:rsidRPr="0067098E" w:rsidRDefault="001D5849" w:rsidP="007055C1">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厦门大学</w:t>
            </w:r>
          </w:p>
        </w:tc>
        <w:tc>
          <w:tcPr>
            <w:tcW w:w="815" w:type="pct"/>
            <w:tcBorders>
              <w:top w:val="nil"/>
              <w:left w:val="nil"/>
              <w:bottom w:val="single" w:sz="4" w:space="0" w:color="auto"/>
              <w:right w:val="single" w:sz="4" w:space="0" w:color="auto"/>
            </w:tcBorders>
            <w:shd w:val="clear" w:color="000000" w:fill="FFFFFF"/>
            <w:noWrap/>
            <w:vAlign w:val="center"/>
            <w:hideMark/>
          </w:tcPr>
          <w:p w:rsidR="001D5849" w:rsidRPr="0067098E" w:rsidRDefault="001D5849" w:rsidP="007055C1">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5月23日</w:t>
            </w:r>
          </w:p>
        </w:tc>
        <w:tc>
          <w:tcPr>
            <w:tcW w:w="968" w:type="pct"/>
            <w:tcBorders>
              <w:top w:val="nil"/>
              <w:left w:val="nil"/>
              <w:bottom w:val="single" w:sz="4" w:space="0" w:color="auto"/>
              <w:right w:val="single" w:sz="4" w:space="0" w:color="auto"/>
            </w:tcBorders>
            <w:shd w:val="clear" w:color="000000" w:fill="FFFFFF"/>
            <w:noWrap/>
            <w:vAlign w:val="center"/>
            <w:hideMark/>
          </w:tcPr>
          <w:p w:rsidR="001D5849" w:rsidRPr="0067098E" w:rsidRDefault="00F86995" w:rsidP="007055C1">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19:00--21:00</w:t>
            </w:r>
          </w:p>
        </w:tc>
        <w:tc>
          <w:tcPr>
            <w:tcW w:w="1766" w:type="pct"/>
            <w:tcBorders>
              <w:top w:val="nil"/>
              <w:left w:val="nil"/>
              <w:bottom w:val="single" w:sz="4" w:space="0" w:color="auto"/>
              <w:right w:val="single" w:sz="4" w:space="0" w:color="auto"/>
            </w:tcBorders>
            <w:shd w:val="clear" w:color="000000" w:fill="FFFFFF"/>
            <w:noWrap/>
            <w:vAlign w:val="center"/>
            <w:hideMark/>
          </w:tcPr>
          <w:p w:rsidR="001D5849" w:rsidRPr="0067098E" w:rsidRDefault="00F86995" w:rsidP="007055C1">
            <w:pPr>
              <w:ind w:firstLine="0"/>
              <w:jc w:val="center"/>
              <w:rPr>
                <w:rFonts w:ascii="微软雅黑" w:eastAsia="微软雅黑" w:hAnsi="微软雅黑" w:cs="宋体"/>
                <w:sz w:val="18"/>
                <w:szCs w:val="18"/>
              </w:rPr>
            </w:pPr>
            <w:r>
              <w:rPr>
                <w:rFonts w:ascii="微软雅黑" w:eastAsia="微软雅黑" w:hAnsi="微软雅黑" w:cs="宋体" w:hint="eastAsia"/>
                <w:sz w:val="18"/>
                <w:szCs w:val="18"/>
              </w:rPr>
              <w:t>南二</w:t>
            </w:r>
            <w:proofErr w:type="gramStart"/>
            <w:r>
              <w:rPr>
                <w:rFonts w:ascii="微软雅黑" w:eastAsia="微软雅黑" w:hAnsi="微软雅黑" w:cs="宋体" w:hint="eastAsia"/>
                <w:sz w:val="18"/>
                <w:szCs w:val="18"/>
              </w:rPr>
              <w:t>403</w:t>
            </w:r>
            <w:proofErr w:type="gramEnd"/>
          </w:p>
        </w:tc>
      </w:tr>
      <w:tr w:rsidR="001D5849" w:rsidRPr="0067098E" w:rsidTr="001D5849">
        <w:trPr>
          <w:trHeight w:val="285"/>
        </w:trPr>
        <w:tc>
          <w:tcPr>
            <w:tcW w:w="488" w:type="pct"/>
            <w:tcBorders>
              <w:top w:val="nil"/>
              <w:left w:val="single" w:sz="4" w:space="0" w:color="auto"/>
              <w:bottom w:val="single" w:sz="4" w:space="0" w:color="auto"/>
              <w:right w:val="single" w:sz="4" w:space="0" w:color="auto"/>
            </w:tcBorders>
            <w:shd w:val="clear" w:color="000000" w:fill="FFFFFF"/>
            <w:noWrap/>
            <w:vAlign w:val="center"/>
            <w:hideMark/>
          </w:tcPr>
          <w:p w:rsidR="001D5849" w:rsidRPr="0067098E" w:rsidRDefault="001D5849" w:rsidP="007055C1">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深圳</w:t>
            </w:r>
          </w:p>
        </w:tc>
        <w:tc>
          <w:tcPr>
            <w:tcW w:w="963" w:type="pct"/>
            <w:tcBorders>
              <w:top w:val="nil"/>
              <w:left w:val="nil"/>
              <w:bottom w:val="single" w:sz="4" w:space="0" w:color="auto"/>
              <w:right w:val="single" w:sz="4" w:space="0" w:color="auto"/>
            </w:tcBorders>
            <w:shd w:val="clear" w:color="000000" w:fill="FFFFFF"/>
            <w:noWrap/>
            <w:vAlign w:val="center"/>
            <w:hideMark/>
          </w:tcPr>
          <w:p w:rsidR="001D5849" w:rsidRPr="0067098E" w:rsidRDefault="001D5849" w:rsidP="007055C1">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深圳大学</w:t>
            </w:r>
          </w:p>
        </w:tc>
        <w:tc>
          <w:tcPr>
            <w:tcW w:w="815" w:type="pct"/>
            <w:tcBorders>
              <w:top w:val="nil"/>
              <w:left w:val="nil"/>
              <w:bottom w:val="single" w:sz="4" w:space="0" w:color="auto"/>
              <w:right w:val="single" w:sz="4" w:space="0" w:color="auto"/>
            </w:tcBorders>
            <w:shd w:val="clear" w:color="000000" w:fill="FFFFFF"/>
            <w:noWrap/>
            <w:vAlign w:val="center"/>
            <w:hideMark/>
          </w:tcPr>
          <w:p w:rsidR="001D5849" w:rsidRPr="0067098E" w:rsidRDefault="001D5849" w:rsidP="007055C1">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5月9日</w:t>
            </w:r>
          </w:p>
        </w:tc>
        <w:tc>
          <w:tcPr>
            <w:tcW w:w="968" w:type="pct"/>
            <w:tcBorders>
              <w:top w:val="nil"/>
              <w:left w:val="nil"/>
              <w:bottom w:val="single" w:sz="4" w:space="0" w:color="auto"/>
              <w:right w:val="single" w:sz="4" w:space="0" w:color="auto"/>
            </w:tcBorders>
            <w:shd w:val="clear" w:color="000000" w:fill="FFFFFF"/>
            <w:noWrap/>
            <w:vAlign w:val="center"/>
            <w:hideMark/>
          </w:tcPr>
          <w:p w:rsidR="001D5849" w:rsidRPr="0067098E" w:rsidRDefault="001E3E5F" w:rsidP="007055C1">
            <w:pPr>
              <w:ind w:firstLine="0"/>
              <w:jc w:val="center"/>
              <w:rPr>
                <w:rFonts w:ascii="微软雅黑" w:eastAsia="微软雅黑" w:hAnsi="微软雅黑" w:cs="宋体"/>
                <w:sz w:val="18"/>
                <w:szCs w:val="18"/>
              </w:rPr>
            </w:pPr>
            <w:r w:rsidRPr="0067098E">
              <w:rPr>
                <w:rFonts w:ascii="微软雅黑" w:eastAsia="微软雅黑" w:hAnsi="微软雅黑" w:cs="宋体" w:hint="eastAsia"/>
                <w:sz w:val="18"/>
                <w:szCs w:val="18"/>
              </w:rPr>
              <w:t>19:00--21:00</w:t>
            </w:r>
          </w:p>
        </w:tc>
        <w:tc>
          <w:tcPr>
            <w:tcW w:w="1766" w:type="pct"/>
            <w:tcBorders>
              <w:top w:val="nil"/>
              <w:left w:val="nil"/>
              <w:bottom w:val="single" w:sz="4" w:space="0" w:color="auto"/>
              <w:right w:val="single" w:sz="4" w:space="0" w:color="auto"/>
            </w:tcBorders>
            <w:shd w:val="clear" w:color="000000" w:fill="FFFFFF"/>
            <w:noWrap/>
            <w:vAlign w:val="center"/>
            <w:hideMark/>
          </w:tcPr>
          <w:p w:rsidR="001D5849" w:rsidRPr="0067098E" w:rsidRDefault="001E3E5F" w:rsidP="007055C1">
            <w:pPr>
              <w:ind w:firstLine="0"/>
              <w:jc w:val="center"/>
              <w:rPr>
                <w:rFonts w:ascii="微软雅黑" w:eastAsia="微软雅黑" w:hAnsi="微软雅黑" w:cs="宋体"/>
                <w:sz w:val="18"/>
                <w:szCs w:val="18"/>
              </w:rPr>
            </w:pPr>
            <w:r w:rsidRPr="001E3E5F">
              <w:rPr>
                <w:rFonts w:ascii="微软雅黑" w:eastAsia="微软雅黑" w:hAnsi="微软雅黑" w:cs="宋体" w:hint="eastAsia"/>
                <w:sz w:val="18"/>
                <w:szCs w:val="18"/>
              </w:rPr>
              <w:t>科技楼</w:t>
            </w:r>
            <w:r w:rsidRPr="001E3E5F">
              <w:rPr>
                <w:rFonts w:ascii="微软雅黑" w:eastAsia="微软雅黑" w:hAnsi="微软雅黑" w:cs="宋体"/>
                <w:sz w:val="18"/>
                <w:szCs w:val="18"/>
              </w:rPr>
              <w:t>3</w:t>
            </w:r>
            <w:r w:rsidRPr="001E3E5F">
              <w:rPr>
                <w:rFonts w:ascii="微软雅黑" w:eastAsia="微软雅黑" w:hAnsi="微软雅黑" w:cs="宋体" w:hint="eastAsia"/>
                <w:sz w:val="18"/>
                <w:szCs w:val="18"/>
              </w:rPr>
              <w:t>号报告厅</w:t>
            </w:r>
          </w:p>
        </w:tc>
      </w:tr>
    </w:tbl>
    <w:p w:rsidR="004A2F6F" w:rsidRDefault="004A2F6F" w:rsidP="0079093E">
      <w:pPr>
        <w:ind w:firstLine="0"/>
        <w:rPr>
          <w:rFonts w:ascii="黑体" w:eastAsia="黑体" w:hAnsi="黑体"/>
          <w:sz w:val="24"/>
          <w:szCs w:val="24"/>
        </w:rPr>
      </w:pPr>
    </w:p>
    <w:p w:rsidR="004A2F6F" w:rsidRPr="007F5069" w:rsidRDefault="004A2F6F" w:rsidP="007F5069">
      <w:pPr>
        <w:pStyle w:val="a8"/>
        <w:numPr>
          <w:ilvl w:val="0"/>
          <w:numId w:val="8"/>
        </w:numPr>
        <w:ind w:firstLineChars="0"/>
        <w:rPr>
          <w:rFonts w:asciiTheme="minorEastAsia" w:eastAsiaTheme="minorEastAsia" w:hAnsiTheme="minorEastAsia"/>
          <w:b/>
          <w:sz w:val="28"/>
          <w:szCs w:val="28"/>
        </w:rPr>
      </w:pPr>
      <w:r w:rsidRPr="00F158AD">
        <w:rPr>
          <w:rFonts w:asciiTheme="minorEastAsia" w:eastAsiaTheme="minorEastAsia" w:hAnsiTheme="minorEastAsia" w:hint="eastAsia"/>
          <w:b/>
          <w:sz w:val="28"/>
          <w:szCs w:val="28"/>
        </w:rPr>
        <w:t>招聘流程</w:t>
      </w:r>
      <w:r w:rsidR="00F91E84" w:rsidRPr="00F158AD">
        <w:rPr>
          <w:rFonts w:asciiTheme="minorEastAsia" w:eastAsiaTheme="minorEastAsia" w:hAnsiTheme="minorEastAsia" w:hint="eastAsia"/>
          <w:b/>
          <w:sz w:val="28"/>
          <w:szCs w:val="28"/>
        </w:rPr>
        <w:t>：</w:t>
      </w:r>
    </w:p>
    <w:p w:rsidR="00C11002" w:rsidRDefault="003476D3" w:rsidP="003260D5">
      <w:pPr>
        <w:ind w:firstLineChars="200" w:firstLine="400"/>
        <w:rPr>
          <w:noProof/>
        </w:rPr>
      </w:pPr>
      <w:r w:rsidRPr="003476D3">
        <w:rPr>
          <w:noProof/>
        </w:rPr>
        <w:drawing>
          <wp:inline distT="0" distB="0" distL="0" distR="0">
            <wp:extent cx="5486400" cy="554355"/>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762000"/>
                      <a:chOff x="685800" y="3124200"/>
                      <a:chExt cx="7543800" cy="762000"/>
                    </a:xfrm>
                  </a:grpSpPr>
                  <a:sp>
                    <a:nvSpPr>
                      <a:cNvPr id="4100" name="Rectangle 233"/>
                      <a:cNvSpPr>
                        <a:spLocks noChangeArrowheads="1"/>
                      </a:cNvSpPr>
                    </a:nvSpPr>
                    <a:spPr bwMode="auto">
                      <a:xfrm>
                        <a:off x="685800" y="3124200"/>
                        <a:ext cx="685800" cy="762000"/>
                      </a:xfrm>
                      <a:prstGeom prst="rect">
                        <a:avLst/>
                      </a:prstGeom>
                      <a:solidFill>
                        <a:schemeClr val="accent2"/>
                      </a:solidFill>
                      <a:ln w="9525" algn="ctr">
                        <a:solidFill>
                          <a:schemeClr val="tx1"/>
                        </a:solidFill>
                        <a:miter lim="800000"/>
                        <a:headEnd/>
                        <a:tailEnd/>
                      </a:ln>
                      <a:effectLst>
                        <a:prstShdw prst="shdw13" dist="53882" dir="13500000">
                          <a:schemeClr val="bg2">
                            <a:alpha val="50000"/>
                          </a:schemeClr>
                        </a:prstShdw>
                      </a:effectLst>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r>
                            <a:rPr lang="zh-CN" altLang="en-US" dirty="0">
                              <a:solidFill>
                                <a:schemeClr val="bg1"/>
                              </a:solidFill>
                              <a:ea typeface="宋体" pitchFamily="2" charset="-122"/>
                            </a:rPr>
                            <a:t>校园宣讲</a:t>
                          </a:r>
                          <a:endParaRPr lang="en-US" altLang="zh-CN" dirty="0">
                            <a:solidFill>
                              <a:schemeClr val="bg1"/>
                            </a:solidFill>
                            <a:ea typeface="宋体" pitchFamily="2" charset="-122"/>
                          </a:endParaRPr>
                        </a:p>
                      </a:txBody>
                      <a:useSpRect/>
                    </a:txSp>
                  </a:sp>
                  <a:sp>
                    <a:nvSpPr>
                      <a:cNvPr id="4101" name="AutoShape 236"/>
                      <a:cNvSpPr>
                        <a:spLocks noChangeArrowheads="1"/>
                      </a:cNvSpPr>
                    </a:nvSpPr>
                    <a:spPr bwMode="auto">
                      <a:xfrm>
                        <a:off x="1447800" y="3429000"/>
                        <a:ext cx="304800" cy="152400"/>
                      </a:xfrm>
                      <a:prstGeom prst="rightArrow">
                        <a:avLst>
                          <a:gd name="adj1" fmla="val 50000"/>
                          <a:gd name="adj2" fmla="val 50000"/>
                        </a:avLst>
                      </a:prstGeom>
                      <a:solidFill>
                        <a:schemeClr val="bg1"/>
                      </a:solidFill>
                      <a:ln w="9525" algn="ctr">
                        <a:solidFill>
                          <a:schemeClr val="tx1"/>
                        </a:solidFill>
                        <a:miter lim="800000"/>
                        <a:headEnd/>
                        <a:tailEnd/>
                      </a:ln>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endParaRPr lang="en-US"/>
                        </a:p>
                      </a:txBody>
                      <a:useSpRect/>
                    </a:txSp>
                  </a:sp>
                  <a:sp>
                    <a:nvSpPr>
                      <a:cNvPr id="4102" name="Rectangle 237"/>
                      <a:cNvSpPr>
                        <a:spLocks noChangeArrowheads="1"/>
                      </a:cNvSpPr>
                    </a:nvSpPr>
                    <a:spPr bwMode="auto">
                      <a:xfrm>
                        <a:off x="1828800" y="3124200"/>
                        <a:ext cx="685800" cy="762000"/>
                      </a:xfrm>
                      <a:prstGeom prst="rect">
                        <a:avLst/>
                      </a:prstGeom>
                      <a:solidFill>
                        <a:schemeClr val="accent2"/>
                      </a:solidFill>
                      <a:ln w="9525" algn="ctr">
                        <a:solidFill>
                          <a:schemeClr val="tx1"/>
                        </a:solidFill>
                        <a:miter lim="800000"/>
                        <a:headEnd/>
                        <a:tailEnd/>
                      </a:ln>
                      <a:effectLst>
                        <a:prstShdw prst="shdw13" dist="53882" dir="13500000">
                          <a:schemeClr val="bg2">
                            <a:alpha val="50000"/>
                          </a:schemeClr>
                        </a:prstShdw>
                      </a:effectLst>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r>
                            <a:rPr lang="zh-CN" altLang="en-US">
                              <a:solidFill>
                                <a:schemeClr val="bg1"/>
                              </a:solidFill>
                              <a:ea typeface="宋体" pitchFamily="2" charset="-122"/>
                            </a:rPr>
                            <a:t>在线投递</a:t>
                          </a:r>
                          <a:endParaRPr lang="en-US" altLang="zh-CN">
                            <a:solidFill>
                              <a:schemeClr val="bg1"/>
                            </a:solidFill>
                            <a:ea typeface="宋体" pitchFamily="2" charset="-122"/>
                          </a:endParaRPr>
                        </a:p>
                      </a:txBody>
                      <a:useSpRect/>
                    </a:txSp>
                  </a:sp>
                  <a:sp>
                    <a:nvSpPr>
                      <a:cNvPr id="4103" name="Rectangle 242"/>
                      <a:cNvSpPr>
                        <a:spLocks noChangeArrowheads="1"/>
                      </a:cNvSpPr>
                    </a:nvSpPr>
                    <a:spPr bwMode="auto">
                      <a:xfrm>
                        <a:off x="2971800" y="3124200"/>
                        <a:ext cx="685800" cy="762000"/>
                      </a:xfrm>
                      <a:prstGeom prst="rect">
                        <a:avLst/>
                      </a:prstGeom>
                      <a:solidFill>
                        <a:schemeClr val="accent2"/>
                      </a:solidFill>
                      <a:ln w="9525" algn="ctr">
                        <a:solidFill>
                          <a:schemeClr val="tx1"/>
                        </a:solidFill>
                        <a:miter lim="800000"/>
                        <a:headEnd/>
                        <a:tailEnd/>
                      </a:ln>
                      <a:effectLst>
                        <a:prstShdw prst="shdw13" dist="53882" dir="13500000">
                          <a:schemeClr val="bg2">
                            <a:alpha val="50000"/>
                          </a:schemeClr>
                        </a:prstShdw>
                      </a:effectLst>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r>
                            <a:rPr lang="zh-CN" altLang="en-US">
                              <a:solidFill>
                                <a:schemeClr val="bg1"/>
                              </a:solidFill>
                              <a:ea typeface="宋体" pitchFamily="2" charset="-122"/>
                            </a:rPr>
                            <a:t>简历筛选</a:t>
                          </a:r>
                          <a:endParaRPr lang="en-US" altLang="zh-CN">
                            <a:solidFill>
                              <a:schemeClr val="bg1"/>
                            </a:solidFill>
                            <a:ea typeface="宋体" pitchFamily="2" charset="-122"/>
                          </a:endParaRPr>
                        </a:p>
                      </a:txBody>
                      <a:useSpRect/>
                    </a:txSp>
                  </a:sp>
                  <a:sp>
                    <a:nvSpPr>
                      <a:cNvPr id="4104" name="Rectangle 244"/>
                      <a:cNvSpPr>
                        <a:spLocks noChangeArrowheads="1"/>
                      </a:cNvSpPr>
                    </a:nvSpPr>
                    <a:spPr bwMode="auto">
                      <a:xfrm>
                        <a:off x="4114800" y="3124200"/>
                        <a:ext cx="685800" cy="762000"/>
                      </a:xfrm>
                      <a:prstGeom prst="rect">
                        <a:avLst/>
                      </a:prstGeom>
                      <a:solidFill>
                        <a:schemeClr val="accent2"/>
                      </a:solidFill>
                      <a:ln w="9525" algn="ctr">
                        <a:solidFill>
                          <a:schemeClr val="tx1"/>
                        </a:solidFill>
                        <a:miter lim="800000"/>
                        <a:headEnd/>
                        <a:tailEnd/>
                      </a:ln>
                      <a:effectLst>
                        <a:prstShdw prst="shdw13" dist="53882" dir="13500000">
                          <a:schemeClr val="bg2">
                            <a:alpha val="50000"/>
                          </a:schemeClr>
                        </a:prstShdw>
                      </a:effectLst>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r>
                            <a:rPr lang="zh-CN" altLang="en-US">
                              <a:solidFill>
                                <a:schemeClr val="bg1"/>
                              </a:solidFill>
                              <a:ea typeface="宋体" pitchFamily="2" charset="-122"/>
                            </a:rPr>
                            <a:t>参加评估</a:t>
                          </a:r>
                          <a:endParaRPr lang="en-US" altLang="zh-CN">
                            <a:solidFill>
                              <a:schemeClr val="bg1"/>
                            </a:solidFill>
                            <a:ea typeface="宋体" pitchFamily="2" charset="-122"/>
                          </a:endParaRPr>
                        </a:p>
                      </a:txBody>
                      <a:useSpRect/>
                    </a:txSp>
                  </a:sp>
                  <a:sp>
                    <a:nvSpPr>
                      <a:cNvPr id="4105" name="Rectangle 248"/>
                      <a:cNvSpPr>
                        <a:spLocks noChangeArrowheads="1"/>
                      </a:cNvSpPr>
                    </a:nvSpPr>
                    <a:spPr bwMode="auto">
                      <a:xfrm>
                        <a:off x="6400800" y="3124200"/>
                        <a:ext cx="685800" cy="762000"/>
                      </a:xfrm>
                      <a:prstGeom prst="rect">
                        <a:avLst/>
                      </a:prstGeom>
                      <a:solidFill>
                        <a:schemeClr val="accent2"/>
                      </a:solidFill>
                      <a:ln w="9525" algn="ctr">
                        <a:solidFill>
                          <a:schemeClr val="tx1"/>
                        </a:solidFill>
                        <a:miter lim="800000"/>
                        <a:headEnd/>
                        <a:tailEnd/>
                      </a:ln>
                      <a:effectLst>
                        <a:prstShdw prst="shdw13" dist="53882" dir="13500000">
                          <a:schemeClr val="bg2">
                            <a:alpha val="50000"/>
                          </a:schemeClr>
                        </a:prstShdw>
                      </a:effectLst>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r>
                            <a:rPr lang="zh-CN" altLang="en-US" dirty="0">
                              <a:solidFill>
                                <a:schemeClr val="bg1"/>
                              </a:solidFill>
                              <a:ea typeface="宋体" pitchFamily="2" charset="-122"/>
                            </a:rPr>
                            <a:t>开始</a:t>
                          </a:r>
                          <a:r>
                            <a:rPr lang="zh-CN" altLang="en-US" dirty="0" smtClean="0">
                              <a:solidFill>
                                <a:schemeClr val="bg1"/>
                              </a:solidFill>
                              <a:ea typeface="宋体" pitchFamily="2" charset="-122"/>
                            </a:rPr>
                            <a:t>实</a:t>
                          </a:r>
                          <a:r>
                            <a:rPr lang="zh-CN" altLang="en-US" dirty="0">
                              <a:solidFill>
                                <a:schemeClr val="bg1"/>
                              </a:solidFill>
                              <a:ea typeface="宋体" pitchFamily="2" charset="-122"/>
                            </a:rPr>
                            <a:t>习</a:t>
                          </a:r>
                          <a:endParaRPr lang="en-US" altLang="zh-CN" dirty="0">
                            <a:solidFill>
                              <a:schemeClr val="bg1"/>
                            </a:solidFill>
                            <a:ea typeface="宋体" pitchFamily="2" charset="-122"/>
                          </a:endParaRPr>
                        </a:p>
                      </a:txBody>
                      <a:useSpRect/>
                    </a:txSp>
                  </a:sp>
                  <a:sp>
                    <a:nvSpPr>
                      <a:cNvPr id="4106" name="Rectangle 250"/>
                      <a:cNvSpPr>
                        <a:spLocks noChangeArrowheads="1"/>
                      </a:cNvSpPr>
                    </a:nvSpPr>
                    <a:spPr bwMode="auto">
                      <a:xfrm>
                        <a:off x="7543800" y="3124200"/>
                        <a:ext cx="685800" cy="762000"/>
                      </a:xfrm>
                      <a:prstGeom prst="rect">
                        <a:avLst/>
                      </a:prstGeom>
                      <a:solidFill>
                        <a:schemeClr val="accent2"/>
                      </a:solidFill>
                      <a:ln w="9525" algn="ctr">
                        <a:solidFill>
                          <a:schemeClr val="tx1"/>
                        </a:solidFill>
                        <a:miter lim="800000"/>
                        <a:headEnd/>
                        <a:tailEnd/>
                      </a:ln>
                      <a:effectLst>
                        <a:prstShdw prst="shdw13" dist="53882" dir="13500000">
                          <a:schemeClr val="bg2">
                            <a:alpha val="50000"/>
                          </a:schemeClr>
                        </a:prstShdw>
                      </a:effectLst>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r>
                            <a:rPr lang="zh-CN" altLang="en-US" dirty="0">
                              <a:solidFill>
                                <a:schemeClr val="bg1"/>
                              </a:solidFill>
                              <a:ea typeface="宋体" pitchFamily="2" charset="-122"/>
                            </a:rPr>
                            <a:t>正式录用</a:t>
                          </a:r>
                          <a:endParaRPr lang="en-US" altLang="zh-CN" dirty="0">
                            <a:solidFill>
                              <a:schemeClr val="bg1"/>
                            </a:solidFill>
                            <a:ea typeface="宋体" pitchFamily="2" charset="-122"/>
                          </a:endParaRPr>
                        </a:p>
                      </a:txBody>
                      <a:useSpRect/>
                    </a:txSp>
                  </a:sp>
                  <a:sp>
                    <a:nvSpPr>
                      <a:cNvPr id="4107" name="AutoShape 253"/>
                      <a:cNvSpPr>
                        <a:spLocks noChangeArrowheads="1"/>
                      </a:cNvSpPr>
                    </a:nvSpPr>
                    <a:spPr bwMode="auto">
                      <a:xfrm>
                        <a:off x="4876800" y="3429000"/>
                        <a:ext cx="304800" cy="152400"/>
                      </a:xfrm>
                      <a:prstGeom prst="rightArrow">
                        <a:avLst>
                          <a:gd name="adj1" fmla="val 50000"/>
                          <a:gd name="adj2" fmla="val 50000"/>
                        </a:avLst>
                      </a:prstGeom>
                      <a:solidFill>
                        <a:schemeClr val="bg1"/>
                      </a:solidFill>
                      <a:ln w="9525" algn="ctr">
                        <a:solidFill>
                          <a:schemeClr val="tx1"/>
                        </a:solidFill>
                        <a:miter lim="800000"/>
                        <a:headEnd/>
                        <a:tailEnd/>
                      </a:ln>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endParaRPr lang="en-US"/>
                        </a:p>
                      </a:txBody>
                      <a:useSpRect/>
                    </a:txSp>
                  </a:sp>
                  <a:sp>
                    <a:nvSpPr>
                      <a:cNvPr id="4108" name="AutoShape 254"/>
                      <a:cNvSpPr>
                        <a:spLocks noChangeArrowheads="1"/>
                      </a:cNvSpPr>
                    </a:nvSpPr>
                    <a:spPr bwMode="auto">
                      <a:xfrm>
                        <a:off x="3733800" y="3429000"/>
                        <a:ext cx="304800" cy="152400"/>
                      </a:xfrm>
                      <a:prstGeom prst="rightArrow">
                        <a:avLst>
                          <a:gd name="adj1" fmla="val 50000"/>
                          <a:gd name="adj2" fmla="val 50000"/>
                        </a:avLst>
                      </a:prstGeom>
                      <a:solidFill>
                        <a:schemeClr val="bg1"/>
                      </a:solidFill>
                      <a:ln w="9525" algn="ctr">
                        <a:solidFill>
                          <a:schemeClr val="tx1"/>
                        </a:solidFill>
                        <a:miter lim="800000"/>
                        <a:headEnd/>
                        <a:tailEnd/>
                      </a:ln>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endParaRPr lang="en-US"/>
                        </a:p>
                      </a:txBody>
                      <a:useSpRect/>
                    </a:txSp>
                  </a:sp>
                  <a:sp>
                    <a:nvSpPr>
                      <a:cNvPr id="4109" name="AutoShape 255"/>
                      <a:cNvSpPr>
                        <a:spLocks noChangeArrowheads="1"/>
                      </a:cNvSpPr>
                    </a:nvSpPr>
                    <a:spPr bwMode="auto">
                      <a:xfrm>
                        <a:off x="2590800" y="3429000"/>
                        <a:ext cx="304800" cy="152400"/>
                      </a:xfrm>
                      <a:prstGeom prst="rightArrow">
                        <a:avLst>
                          <a:gd name="adj1" fmla="val 50000"/>
                          <a:gd name="adj2" fmla="val 50000"/>
                        </a:avLst>
                      </a:prstGeom>
                      <a:solidFill>
                        <a:schemeClr val="bg1"/>
                      </a:solidFill>
                      <a:ln w="9525" algn="ctr">
                        <a:solidFill>
                          <a:schemeClr val="tx1"/>
                        </a:solidFill>
                        <a:miter lim="800000"/>
                        <a:headEnd/>
                        <a:tailEnd/>
                      </a:ln>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endParaRPr lang="en-US"/>
                        </a:p>
                      </a:txBody>
                      <a:useSpRect/>
                    </a:txSp>
                  </a:sp>
                  <a:sp>
                    <a:nvSpPr>
                      <a:cNvPr id="4110" name="AutoShape 259"/>
                      <a:cNvSpPr>
                        <a:spLocks noChangeArrowheads="1"/>
                      </a:cNvSpPr>
                    </a:nvSpPr>
                    <a:spPr bwMode="auto">
                      <a:xfrm>
                        <a:off x="7162800" y="3429000"/>
                        <a:ext cx="304800" cy="152400"/>
                      </a:xfrm>
                      <a:prstGeom prst="rightArrow">
                        <a:avLst>
                          <a:gd name="adj1" fmla="val 50000"/>
                          <a:gd name="adj2" fmla="val 50000"/>
                        </a:avLst>
                      </a:prstGeom>
                      <a:solidFill>
                        <a:schemeClr val="bg1"/>
                      </a:solidFill>
                      <a:ln w="9525" algn="ctr">
                        <a:solidFill>
                          <a:schemeClr val="tx1"/>
                        </a:solidFill>
                        <a:miter lim="800000"/>
                        <a:headEnd/>
                        <a:tailEnd/>
                      </a:ln>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endParaRPr lang="en-US"/>
                        </a:p>
                      </a:txBody>
                      <a:useSpRect/>
                    </a:txSp>
                  </a:sp>
                  <a:sp>
                    <a:nvSpPr>
                      <a:cNvPr id="4111" name="AutoShape 260"/>
                      <a:cNvSpPr>
                        <a:spLocks noChangeArrowheads="1"/>
                      </a:cNvSpPr>
                    </a:nvSpPr>
                    <a:spPr bwMode="auto">
                      <a:xfrm>
                        <a:off x="6019800" y="3429000"/>
                        <a:ext cx="304800" cy="152400"/>
                      </a:xfrm>
                      <a:prstGeom prst="rightArrow">
                        <a:avLst>
                          <a:gd name="adj1" fmla="val 50000"/>
                          <a:gd name="adj2" fmla="val 50000"/>
                        </a:avLst>
                      </a:prstGeom>
                      <a:solidFill>
                        <a:schemeClr val="bg1"/>
                      </a:solidFill>
                      <a:ln w="9525" algn="ctr">
                        <a:solidFill>
                          <a:schemeClr val="tx1"/>
                        </a:solidFill>
                        <a:miter lim="800000"/>
                        <a:headEnd/>
                        <a:tailEnd/>
                      </a:ln>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endParaRPr lang="en-US"/>
                        </a:p>
                      </a:txBody>
                      <a:useSpRect/>
                    </a:txSp>
                  </a:sp>
                  <a:sp>
                    <a:nvSpPr>
                      <a:cNvPr id="4112" name="Rectangle 309"/>
                      <a:cNvSpPr>
                        <a:spLocks noChangeArrowheads="1"/>
                      </a:cNvSpPr>
                    </a:nvSpPr>
                    <a:spPr bwMode="auto">
                      <a:xfrm>
                        <a:off x="5257800" y="3124200"/>
                        <a:ext cx="685800" cy="762000"/>
                      </a:xfrm>
                      <a:prstGeom prst="rect">
                        <a:avLst/>
                      </a:prstGeom>
                      <a:solidFill>
                        <a:schemeClr val="accent2"/>
                      </a:solidFill>
                      <a:ln w="9525" algn="ctr">
                        <a:solidFill>
                          <a:schemeClr val="tx1"/>
                        </a:solidFill>
                        <a:miter lim="800000"/>
                        <a:headEnd/>
                        <a:tailEnd/>
                      </a:ln>
                      <a:effectLst>
                        <a:prstShdw prst="shdw13" dist="53882" dir="13500000">
                          <a:schemeClr val="bg2">
                            <a:alpha val="50000"/>
                          </a:schemeClr>
                        </a:prstShdw>
                      </a:effectLst>
                    </a:spPr>
                    <a:txSp>
                      <a:txBody>
                        <a:bodyPr wrap="none" anchor="ctr"/>
                        <a:lstStyle>
                          <a:defPPr>
                            <a:defRPr lang="en-US"/>
                          </a:defPPr>
                          <a:lvl1pPr algn="ctr" rtl="0" fontAlgn="base">
                            <a:spcBef>
                              <a:spcPct val="0"/>
                            </a:spcBef>
                            <a:spcAft>
                              <a:spcPct val="0"/>
                            </a:spcAft>
                            <a:defRPr sz="1000" kern="1200">
                              <a:solidFill>
                                <a:schemeClr val="tx1"/>
                              </a:solidFill>
                              <a:latin typeface="Arial" charset="0"/>
                              <a:ea typeface="+mn-ea"/>
                              <a:cs typeface="Arial" charset="0"/>
                            </a:defRPr>
                          </a:lvl1pPr>
                          <a:lvl2pPr marL="457200" algn="ctr" rtl="0" fontAlgn="base">
                            <a:spcBef>
                              <a:spcPct val="0"/>
                            </a:spcBef>
                            <a:spcAft>
                              <a:spcPct val="0"/>
                            </a:spcAft>
                            <a:defRPr sz="1000" kern="1200">
                              <a:solidFill>
                                <a:schemeClr val="tx1"/>
                              </a:solidFill>
                              <a:latin typeface="Arial" charset="0"/>
                              <a:ea typeface="+mn-ea"/>
                              <a:cs typeface="Arial" charset="0"/>
                            </a:defRPr>
                          </a:lvl2pPr>
                          <a:lvl3pPr marL="914400" algn="ctr" rtl="0" fontAlgn="base">
                            <a:spcBef>
                              <a:spcPct val="0"/>
                            </a:spcBef>
                            <a:spcAft>
                              <a:spcPct val="0"/>
                            </a:spcAft>
                            <a:defRPr sz="1000" kern="1200">
                              <a:solidFill>
                                <a:schemeClr val="tx1"/>
                              </a:solidFill>
                              <a:latin typeface="Arial" charset="0"/>
                              <a:ea typeface="+mn-ea"/>
                              <a:cs typeface="Arial" charset="0"/>
                            </a:defRPr>
                          </a:lvl3pPr>
                          <a:lvl4pPr marL="1371600" algn="ctr" rtl="0" fontAlgn="base">
                            <a:spcBef>
                              <a:spcPct val="0"/>
                            </a:spcBef>
                            <a:spcAft>
                              <a:spcPct val="0"/>
                            </a:spcAft>
                            <a:defRPr sz="1000" kern="1200">
                              <a:solidFill>
                                <a:schemeClr val="tx1"/>
                              </a:solidFill>
                              <a:latin typeface="Arial" charset="0"/>
                              <a:ea typeface="+mn-ea"/>
                              <a:cs typeface="Arial" charset="0"/>
                            </a:defRPr>
                          </a:lvl4pPr>
                          <a:lvl5pPr marL="1828800" algn="ctr" rtl="0" fontAlgn="base">
                            <a:spcBef>
                              <a:spcPct val="0"/>
                            </a:spcBef>
                            <a:spcAft>
                              <a:spcPct val="0"/>
                            </a:spcAft>
                            <a:defRPr sz="1000" kern="1200">
                              <a:solidFill>
                                <a:schemeClr val="tx1"/>
                              </a:solidFill>
                              <a:latin typeface="Arial" charset="0"/>
                              <a:ea typeface="+mn-ea"/>
                              <a:cs typeface="Arial" charset="0"/>
                            </a:defRPr>
                          </a:lvl5pPr>
                          <a:lvl6pPr marL="2286000" algn="l" defTabSz="914400" rtl="0" eaLnBrk="1" latinLnBrk="0" hangingPunct="1">
                            <a:defRPr sz="1000" kern="1200">
                              <a:solidFill>
                                <a:schemeClr val="tx1"/>
                              </a:solidFill>
                              <a:latin typeface="Arial" charset="0"/>
                              <a:ea typeface="+mn-ea"/>
                              <a:cs typeface="Arial" charset="0"/>
                            </a:defRPr>
                          </a:lvl6pPr>
                          <a:lvl7pPr marL="2743200" algn="l" defTabSz="914400" rtl="0" eaLnBrk="1" latinLnBrk="0" hangingPunct="1">
                            <a:defRPr sz="1000" kern="1200">
                              <a:solidFill>
                                <a:schemeClr val="tx1"/>
                              </a:solidFill>
                              <a:latin typeface="Arial" charset="0"/>
                              <a:ea typeface="+mn-ea"/>
                              <a:cs typeface="Arial" charset="0"/>
                            </a:defRPr>
                          </a:lvl7pPr>
                          <a:lvl8pPr marL="3200400" algn="l" defTabSz="914400" rtl="0" eaLnBrk="1" latinLnBrk="0" hangingPunct="1">
                            <a:defRPr sz="1000" kern="1200">
                              <a:solidFill>
                                <a:schemeClr val="tx1"/>
                              </a:solidFill>
                              <a:latin typeface="Arial" charset="0"/>
                              <a:ea typeface="+mn-ea"/>
                              <a:cs typeface="Arial" charset="0"/>
                            </a:defRPr>
                          </a:lvl8pPr>
                          <a:lvl9pPr marL="3657600" algn="l" defTabSz="914400" rtl="0" eaLnBrk="1" latinLnBrk="0" hangingPunct="1">
                            <a:defRPr sz="1000" kern="1200">
                              <a:solidFill>
                                <a:schemeClr val="tx1"/>
                              </a:solidFill>
                              <a:latin typeface="Arial" charset="0"/>
                              <a:ea typeface="+mn-ea"/>
                              <a:cs typeface="Arial" charset="0"/>
                            </a:defRPr>
                          </a:lvl9pPr>
                        </a:lstStyle>
                        <a:p>
                          <a:r>
                            <a:rPr lang="zh-CN" altLang="en-US">
                              <a:solidFill>
                                <a:schemeClr val="bg1"/>
                              </a:solidFill>
                              <a:ea typeface="宋体" pitchFamily="2" charset="-122"/>
                            </a:rPr>
                            <a:t>通知录取</a:t>
                          </a:r>
                          <a:endParaRPr lang="en-US" altLang="zh-CN">
                            <a:solidFill>
                              <a:schemeClr val="bg1"/>
                            </a:solidFill>
                            <a:ea typeface="宋体" pitchFamily="2" charset="-122"/>
                          </a:endParaRPr>
                        </a:p>
                      </a:txBody>
                      <a:useSpRect/>
                    </a:txSp>
                  </a:sp>
                </lc:lockedCanvas>
              </a:graphicData>
            </a:graphic>
          </wp:inline>
        </w:drawing>
      </w:r>
    </w:p>
    <w:p w:rsidR="003260D5" w:rsidRDefault="003260D5" w:rsidP="003260D5">
      <w:pPr>
        <w:ind w:firstLine="0"/>
        <w:rPr>
          <w:rFonts w:ascii="黑体" w:eastAsia="黑体" w:hAnsi="黑体"/>
          <w:sz w:val="24"/>
          <w:szCs w:val="24"/>
        </w:rPr>
      </w:pPr>
    </w:p>
    <w:p w:rsidR="007F5069" w:rsidRPr="0067098E" w:rsidRDefault="00C11002" w:rsidP="000B5ACC">
      <w:pPr>
        <w:ind w:firstLineChars="300" w:firstLine="540"/>
        <w:rPr>
          <w:rStyle w:val="a7"/>
          <w:rFonts w:ascii="Arial" w:hAnsi="Arial" w:cs="Arial"/>
          <w:b/>
          <w:sz w:val="24"/>
          <w:szCs w:val="28"/>
        </w:rPr>
      </w:pPr>
      <w:bookmarkStart w:id="0" w:name="OLE_LINK1"/>
      <w:bookmarkStart w:id="1" w:name="OLE_LINK2"/>
      <w:r>
        <w:rPr>
          <w:rFonts w:ascii="宋体" w:hAnsi="宋体" w:cs="宋体" w:hint="eastAsia"/>
          <w:sz w:val="18"/>
          <w:szCs w:val="19"/>
        </w:rPr>
        <w:t>更多</w:t>
      </w:r>
      <w:r w:rsidR="00DA5DF8">
        <w:rPr>
          <w:rFonts w:ascii="宋体" w:hAnsi="宋体" w:cs="宋体" w:hint="eastAsia"/>
          <w:sz w:val="18"/>
          <w:szCs w:val="19"/>
        </w:rPr>
        <w:t>招聘</w:t>
      </w:r>
      <w:r>
        <w:rPr>
          <w:rFonts w:ascii="宋体" w:hAnsi="宋体" w:cs="宋体" w:hint="eastAsia"/>
          <w:sz w:val="18"/>
          <w:szCs w:val="19"/>
        </w:rPr>
        <w:t>详情请登陆</w:t>
      </w:r>
      <w:hyperlink r:id="rId8" w:history="1">
        <w:r w:rsidR="007F5069" w:rsidRPr="005F0B17">
          <w:rPr>
            <w:rStyle w:val="a7"/>
            <w:rFonts w:ascii="Arial" w:hAnsi="Arial" w:cs="Arial"/>
            <w:b/>
            <w:color w:val="4F81BD" w:themeColor="accent1"/>
            <w:sz w:val="24"/>
            <w:szCs w:val="28"/>
          </w:rPr>
          <w:t>http://tuv-sud.chinahr.com</w:t>
        </w:r>
      </w:hyperlink>
    </w:p>
    <w:bookmarkEnd w:id="0"/>
    <w:bookmarkEnd w:id="1"/>
    <w:p w:rsidR="00C11002" w:rsidRPr="002E486A" w:rsidRDefault="00C11002" w:rsidP="000B5ACC">
      <w:pPr>
        <w:ind w:firstLineChars="250" w:firstLine="500"/>
        <w:rPr>
          <w:rFonts w:ascii="黑体" w:eastAsia="黑体" w:hAnsi="黑体"/>
          <w:sz w:val="24"/>
          <w:szCs w:val="24"/>
        </w:rPr>
      </w:pPr>
      <w:r>
        <w:rPr>
          <w:rFonts w:ascii="宋体" w:hAnsi="宋体" w:cs="宋体" w:hint="eastAsia"/>
        </w:rPr>
        <w:t>如</w:t>
      </w:r>
      <w:r w:rsidRPr="00A56DB3">
        <w:rPr>
          <w:rFonts w:ascii="宋体" w:hAnsi="宋体" w:cs="宋体"/>
        </w:rPr>
        <w:t>您在应聘过程中有任何疑问，</w:t>
      </w:r>
      <w:hyperlink r:id="rId9" w:history="1">
        <w:r w:rsidRPr="00D846E4">
          <w:rPr>
            <w:rFonts w:ascii="宋体" w:hAnsi="宋体" w:cs="宋体"/>
          </w:rPr>
          <w:t>请发送邮件到</w:t>
        </w:r>
        <w:r w:rsidRPr="00C11002">
          <w:rPr>
            <w:rStyle w:val="a7"/>
            <w:rFonts w:ascii="Arial" w:hAnsi="Arial" w:cs="Arial"/>
            <w:b/>
            <w:sz w:val="24"/>
            <w:szCs w:val="28"/>
          </w:rPr>
          <w:t>Career.campus@tuv-sud.cn</w:t>
        </w:r>
      </w:hyperlink>
    </w:p>
    <w:sectPr w:rsidR="00C11002" w:rsidRPr="002E486A" w:rsidSect="002E486A">
      <w:headerReference w:type="default" r:id="rId1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54F" w:rsidRDefault="00EA554F" w:rsidP="00D82F9D">
      <w:r>
        <w:separator/>
      </w:r>
    </w:p>
  </w:endnote>
  <w:endnote w:type="continuationSeparator" w:id="0">
    <w:p w:rsidR="00EA554F" w:rsidRDefault="00EA554F" w:rsidP="00D82F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Eras Bold ITC">
    <w:panose1 w:val="020B0907030504020204"/>
    <w:charset w:val="00"/>
    <w:family w:val="swiss"/>
    <w:pitch w:val="variable"/>
    <w:sig w:usb0="00000003" w:usb1="00000000" w:usb2="00000000" w:usb3="00000000" w:csb0="00000001"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54F" w:rsidRDefault="00EA554F" w:rsidP="00D82F9D">
      <w:r>
        <w:separator/>
      </w:r>
    </w:p>
  </w:footnote>
  <w:footnote w:type="continuationSeparator" w:id="0">
    <w:p w:rsidR="00EA554F" w:rsidRDefault="00EA554F" w:rsidP="00D82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9E" w:rsidRPr="0039639E" w:rsidRDefault="00D82F9D" w:rsidP="0039639E">
    <w:pPr>
      <w:pStyle w:val="ab"/>
      <w:rPr>
        <w:rFonts w:ascii="Eras Bold ITC" w:eastAsiaTheme="minorEastAsia" w:hAnsi="Eras Bold ITC"/>
        <w:color w:val="000000" w:themeColor="text1"/>
        <w:sz w:val="21"/>
        <w:szCs w:val="21"/>
      </w:rPr>
    </w:pPr>
    <w:r w:rsidRPr="00D82F9D">
      <w:rPr>
        <w:rFonts w:ascii="Eras Bold ITC" w:eastAsiaTheme="minorEastAsia" w:hAnsi="Eras Bold ITC"/>
        <w:color w:val="000000" w:themeColor="text1"/>
        <w:sz w:val="21"/>
        <w:szCs w:val="21"/>
      </w:rPr>
      <w:t>TÜV SÜD</w:t>
    </w:r>
    <w:r w:rsidR="007A4A37">
      <w:rPr>
        <w:rFonts w:ascii="Eras Bold ITC" w:eastAsiaTheme="minorEastAsia" w:hAnsi="Eras Bold ITC" w:hint="eastAsia"/>
        <w:color w:val="000000" w:themeColor="text1"/>
        <w:sz w:val="21"/>
        <w:szCs w:val="21"/>
      </w:rPr>
      <w:t xml:space="preserve"> </w:t>
    </w:r>
    <w:r w:rsidR="001D5849">
      <w:rPr>
        <w:rFonts w:asciiTheme="minorEastAsia" w:eastAsiaTheme="minorEastAsia" w:hAnsiTheme="minorEastAsia" w:hint="eastAsia"/>
        <w:color w:val="000000" w:themeColor="text1"/>
        <w:sz w:val="21"/>
        <w:szCs w:val="21"/>
      </w:rPr>
      <w:t>2012</w:t>
    </w:r>
    <w:r w:rsidR="007A4A37">
      <w:rPr>
        <w:rFonts w:ascii="Eras Bold ITC" w:eastAsiaTheme="minorEastAsia" w:hAnsi="Eras Bold ITC" w:hint="eastAsia"/>
        <w:color w:val="000000" w:themeColor="text1"/>
        <w:sz w:val="21"/>
        <w:szCs w:val="21"/>
      </w:rPr>
      <w:t>暑期实习生</w:t>
    </w:r>
    <w:r w:rsidRPr="00D82F9D">
      <w:rPr>
        <w:rFonts w:ascii="Eras Bold ITC" w:eastAsiaTheme="minorEastAsia" w:hAnsi="Eras Bold ITC" w:hint="eastAsia"/>
        <w:color w:val="000000" w:themeColor="text1"/>
        <w:sz w:val="21"/>
        <w:szCs w:val="21"/>
      </w:rPr>
      <w:t>校园招聘</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F341B"/>
    <w:multiLevelType w:val="hybridMultilevel"/>
    <w:tmpl w:val="5B08993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21DD42A7"/>
    <w:multiLevelType w:val="hybridMultilevel"/>
    <w:tmpl w:val="8A72DD64"/>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nsid w:val="242964CA"/>
    <w:multiLevelType w:val="hybridMultilevel"/>
    <w:tmpl w:val="E1C4AAA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3531510B"/>
    <w:multiLevelType w:val="hybridMultilevel"/>
    <w:tmpl w:val="3D7AE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13674"/>
    <w:multiLevelType w:val="hybridMultilevel"/>
    <w:tmpl w:val="77C42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4A52AB"/>
    <w:multiLevelType w:val="hybridMultilevel"/>
    <w:tmpl w:val="6F4655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32490C"/>
    <w:multiLevelType w:val="hybridMultilevel"/>
    <w:tmpl w:val="50C2BB12"/>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nsid w:val="7ABF3203"/>
    <w:multiLevelType w:val="hybridMultilevel"/>
    <w:tmpl w:val="EE1E81CE"/>
    <w:lvl w:ilvl="0" w:tplc="04090013">
      <w:start w:val="1"/>
      <w:numFmt w:val="chineseCountingThousand"/>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nsid w:val="7F24607B"/>
    <w:multiLevelType w:val="hybridMultilevel"/>
    <w:tmpl w:val="6FF0EE74"/>
    <w:lvl w:ilvl="0" w:tplc="04090013">
      <w:start w:val="1"/>
      <w:numFmt w:val="chineseCountingThousand"/>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8"/>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savePreviewPicture/>
  <w:hdrShapeDefaults>
    <o:shapedefaults v:ext="edit" spidmax="25602">
      <o:colormru v:ext="edit" colors="#f93,#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4269"/>
    <w:rsid w:val="00057BA7"/>
    <w:rsid w:val="000A44DD"/>
    <w:rsid w:val="000B5ACC"/>
    <w:rsid w:val="000D5E13"/>
    <w:rsid w:val="000E4269"/>
    <w:rsid w:val="000E686E"/>
    <w:rsid w:val="001A7493"/>
    <w:rsid w:val="001D5849"/>
    <w:rsid w:val="001E3E5F"/>
    <w:rsid w:val="00202047"/>
    <w:rsid w:val="00242566"/>
    <w:rsid w:val="00254CBD"/>
    <w:rsid w:val="002852F9"/>
    <w:rsid w:val="002B4DDA"/>
    <w:rsid w:val="002C4739"/>
    <w:rsid w:val="002E3E6C"/>
    <w:rsid w:val="002E486A"/>
    <w:rsid w:val="002E70D7"/>
    <w:rsid w:val="003005DD"/>
    <w:rsid w:val="0030764B"/>
    <w:rsid w:val="003171C7"/>
    <w:rsid w:val="003260D5"/>
    <w:rsid w:val="003476D3"/>
    <w:rsid w:val="0037624D"/>
    <w:rsid w:val="0039639E"/>
    <w:rsid w:val="00397B07"/>
    <w:rsid w:val="003B0ECB"/>
    <w:rsid w:val="003B332E"/>
    <w:rsid w:val="003D2EC1"/>
    <w:rsid w:val="004033D3"/>
    <w:rsid w:val="00407237"/>
    <w:rsid w:val="00441BAB"/>
    <w:rsid w:val="00444390"/>
    <w:rsid w:val="00457758"/>
    <w:rsid w:val="00485C95"/>
    <w:rsid w:val="004A2F6F"/>
    <w:rsid w:val="004B65B3"/>
    <w:rsid w:val="004D540A"/>
    <w:rsid w:val="00515C8E"/>
    <w:rsid w:val="00582BF6"/>
    <w:rsid w:val="00596544"/>
    <w:rsid w:val="005F0B17"/>
    <w:rsid w:val="006165F7"/>
    <w:rsid w:val="0067098E"/>
    <w:rsid w:val="006916B4"/>
    <w:rsid w:val="006D26F6"/>
    <w:rsid w:val="006D7D82"/>
    <w:rsid w:val="0078508D"/>
    <w:rsid w:val="0079093E"/>
    <w:rsid w:val="00791C94"/>
    <w:rsid w:val="00794660"/>
    <w:rsid w:val="007A2A31"/>
    <w:rsid w:val="007A4A37"/>
    <w:rsid w:val="007F5069"/>
    <w:rsid w:val="00820797"/>
    <w:rsid w:val="008413BE"/>
    <w:rsid w:val="0084176F"/>
    <w:rsid w:val="00862CC1"/>
    <w:rsid w:val="008B4897"/>
    <w:rsid w:val="008C60C5"/>
    <w:rsid w:val="008F5703"/>
    <w:rsid w:val="009251BB"/>
    <w:rsid w:val="00953999"/>
    <w:rsid w:val="009679F9"/>
    <w:rsid w:val="00977285"/>
    <w:rsid w:val="0098552D"/>
    <w:rsid w:val="00996A18"/>
    <w:rsid w:val="009C28ED"/>
    <w:rsid w:val="009D31B9"/>
    <w:rsid w:val="009E35E8"/>
    <w:rsid w:val="009E3A9E"/>
    <w:rsid w:val="009E6AC6"/>
    <w:rsid w:val="00A14F7A"/>
    <w:rsid w:val="00A26DBF"/>
    <w:rsid w:val="00A3290C"/>
    <w:rsid w:val="00A61B3D"/>
    <w:rsid w:val="00A875B3"/>
    <w:rsid w:val="00AA1689"/>
    <w:rsid w:val="00AB16B2"/>
    <w:rsid w:val="00AD3804"/>
    <w:rsid w:val="00B32067"/>
    <w:rsid w:val="00B44748"/>
    <w:rsid w:val="00B531B1"/>
    <w:rsid w:val="00BA1A61"/>
    <w:rsid w:val="00BB1498"/>
    <w:rsid w:val="00C11002"/>
    <w:rsid w:val="00C1265D"/>
    <w:rsid w:val="00C459B4"/>
    <w:rsid w:val="00C51978"/>
    <w:rsid w:val="00C63255"/>
    <w:rsid w:val="00CA41EB"/>
    <w:rsid w:val="00CE23BF"/>
    <w:rsid w:val="00D073EC"/>
    <w:rsid w:val="00D27808"/>
    <w:rsid w:val="00D43536"/>
    <w:rsid w:val="00D82F9D"/>
    <w:rsid w:val="00DA5DF8"/>
    <w:rsid w:val="00DC31AD"/>
    <w:rsid w:val="00DD0385"/>
    <w:rsid w:val="00DE79D4"/>
    <w:rsid w:val="00E3208A"/>
    <w:rsid w:val="00E93BDD"/>
    <w:rsid w:val="00EA554F"/>
    <w:rsid w:val="00EB0EA7"/>
    <w:rsid w:val="00EB4605"/>
    <w:rsid w:val="00EC6BEC"/>
    <w:rsid w:val="00EC70D8"/>
    <w:rsid w:val="00F07E77"/>
    <w:rsid w:val="00F158AD"/>
    <w:rsid w:val="00F175DD"/>
    <w:rsid w:val="00F53679"/>
    <w:rsid w:val="00F6400C"/>
    <w:rsid w:val="00F86995"/>
    <w:rsid w:val="00F91E84"/>
    <w:rsid w:val="00FC432B"/>
    <w:rsid w:val="00FE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colormru v:ext="edit" colors="#f93,#f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stral" w:eastAsia="宋体" w:hAnsi="Mistral" w:cs="Times New Roman"/>
        <w:lang w:val="en-US" w:eastAsia="zh-CN" w:bidi="ar-SA"/>
      </w:rPr>
    </w:rPrDefault>
    <w:pPrDefault>
      <w:pPr>
        <w:ind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1B1"/>
  </w:style>
  <w:style w:type="paragraph" w:styleId="2">
    <w:name w:val="heading 2"/>
    <w:basedOn w:val="a"/>
    <w:link w:val="2Char"/>
    <w:uiPriority w:val="9"/>
    <w:qFormat/>
    <w:rsid w:val="00F91E84"/>
    <w:pPr>
      <w:spacing w:before="100" w:beforeAutospacing="1" w:after="100" w:afterAutospacing="1"/>
      <w:ind w:firstLine="0"/>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D3804"/>
    <w:rPr>
      <w:sz w:val="21"/>
      <w:szCs w:val="21"/>
    </w:rPr>
  </w:style>
  <w:style w:type="paragraph" w:styleId="a4">
    <w:name w:val="annotation text"/>
    <w:basedOn w:val="a"/>
    <w:link w:val="Char"/>
    <w:uiPriority w:val="99"/>
    <w:semiHidden/>
    <w:unhideWhenUsed/>
    <w:rsid w:val="00AD3804"/>
  </w:style>
  <w:style w:type="character" w:customStyle="1" w:styleId="Char">
    <w:name w:val="批注文字 Char"/>
    <w:basedOn w:val="a0"/>
    <w:link w:val="a4"/>
    <w:uiPriority w:val="99"/>
    <w:semiHidden/>
    <w:rsid w:val="00AD3804"/>
  </w:style>
  <w:style w:type="paragraph" w:styleId="a5">
    <w:name w:val="annotation subject"/>
    <w:basedOn w:val="a4"/>
    <w:next w:val="a4"/>
    <w:link w:val="Char0"/>
    <w:uiPriority w:val="99"/>
    <w:semiHidden/>
    <w:unhideWhenUsed/>
    <w:rsid w:val="00AD3804"/>
    <w:rPr>
      <w:b/>
      <w:bCs/>
    </w:rPr>
  </w:style>
  <w:style w:type="character" w:customStyle="1" w:styleId="Char0">
    <w:name w:val="批注主题 Char"/>
    <w:basedOn w:val="Char"/>
    <w:link w:val="a5"/>
    <w:uiPriority w:val="99"/>
    <w:semiHidden/>
    <w:rsid w:val="00AD3804"/>
    <w:rPr>
      <w:b/>
      <w:bCs/>
    </w:rPr>
  </w:style>
  <w:style w:type="paragraph" w:styleId="a6">
    <w:name w:val="Balloon Text"/>
    <w:basedOn w:val="a"/>
    <w:link w:val="Char1"/>
    <w:uiPriority w:val="99"/>
    <w:semiHidden/>
    <w:unhideWhenUsed/>
    <w:rsid w:val="00AD3804"/>
    <w:rPr>
      <w:sz w:val="18"/>
      <w:szCs w:val="18"/>
    </w:rPr>
  </w:style>
  <w:style w:type="character" w:customStyle="1" w:styleId="Char1">
    <w:name w:val="批注框文本 Char"/>
    <w:basedOn w:val="a0"/>
    <w:link w:val="a6"/>
    <w:uiPriority w:val="99"/>
    <w:semiHidden/>
    <w:rsid w:val="00AD3804"/>
    <w:rPr>
      <w:sz w:val="18"/>
      <w:szCs w:val="18"/>
    </w:rPr>
  </w:style>
  <w:style w:type="character" w:styleId="a7">
    <w:name w:val="Hyperlink"/>
    <w:basedOn w:val="a0"/>
    <w:uiPriority w:val="99"/>
    <w:unhideWhenUsed/>
    <w:rsid w:val="008C60C5"/>
    <w:rPr>
      <w:color w:val="0000FF"/>
      <w:u w:val="single"/>
    </w:rPr>
  </w:style>
  <w:style w:type="paragraph" w:styleId="a8">
    <w:name w:val="List Paragraph"/>
    <w:basedOn w:val="a"/>
    <w:uiPriority w:val="34"/>
    <w:qFormat/>
    <w:rsid w:val="008C60C5"/>
    <w:pPr>
      <w:ind w:firstLineChars="200" w:firstLine="420"/>
    </w:pPr>
  </w:style>
  <w:style w:type="character" w:styleId="a9">
    <w:name w:val="FollowedHyperlink"/>
    <w:basedOn w:val="a0"/>
    <w:uiPriority w:val="99"/>
    <w:semiHidden/>
    <w:unhideWhenUsed/>
    <w:rsid w:val="008C60C5"/>
    <w:rPr>
      <w:color w:val="800080" w:themeColor="followedHyperlink"/>
      <w:u w:val="single"/>
    </w:rPr>
  </w:style>
  <w:style w:type="table" w:styleId="aa">
    <w:name w:val="Table Grid"/>
    <w:basedOn w:val="a1"/>
    <w:uiPriority w:val="59"/>
    <w:rsid w:val="00862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2"/>
    <w:uiPriority w:val="99"/>
    <w:unhideWhenUsed/>
    <w:rsid w:val="00D82F9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D82F9D"/>
    <w:rPr>
      <w:sz w:val="18"/>
      <w:szCs w:val="18"/>
    </w:rPr>
  </w:style>
  <w:style w:type="paragraph" w:styleId="ac">
    <w:name w:val="footer"/>
    <w:basedOn w:val="a"/>
    <w:link w:val="Char3"/>
    <w:uiPriority w:val="99"/>
    <w:semiHidden/>
    <w:unhideWhenUsed/>
    <w:rsid w:val="00D82F9D"/>
    <w:pPr>
      <w:tabs>
        <w:tab w:val="center" w:pos="4153"/>
        <w:tab w:val="right" w:pos="8306"/>
      </w:tabs>
      <w:snapToGrid w:val="0"/>
    </w:pPr>
    <w:rPr>
      <w:sz w:val="18"/>
      <w:szCs w:val="18"/>
    </w:rPr>
  </w:style>
  <w:style w:type="character" w:customStyle="1" w:styleId="Char3">
    <w:name w:val="页脚 Char"/>
    <w:basedOn w:val="a0"/>
    <w:link w:val="ac"/>
    <w:uiPriority w:val="99"/>
    <w:semiHidden/>
    <w:rsid w:val="00D82F9D"/>
    <w:rPr>
      <w:sz w:val="18"/>
      <w:szCs w:val="18"/>
    </w:rPr>
  </w:style>
  <w:style w:type="character" w:customStyle="1" w:styleId="2Char">
    <w:name w:val="标题 2 Char"/>
    <w:basedOn w:val="a0"/>
    <w:link w:val="2"/>
    <w:uiPriority w:val="9"/>
    <w:rsid w:val="00F91E84"/>
    <w:rPr>
      <w:rFonts w:ascii="Times New Roman" w:eastAsia="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stral" w:eastAsia="宋体" w:hAnsi="Mistral" w:cs="Times New Roman"/>
        <w:lang w:val="en-US" w:eastAsia="zh-CN" w:bidi="ar-SA"/>
      </w:rPr>
    </w:rPrDefault>
    <w:pPrDefault>
      <w:pPr>
        <w:ind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1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D3804"/>
    <w:rPr>
      <w:sz w:val="21"/>
      <w:szCs w:val="21"/>
    </w:rPr>
  </w:style>
  <w:style w:type="paragraph" w:styleId="a4">
    <w:name w:val="annotation text"/>
    <w:basedOn w:val="a"/>
    <w:link w:val="Char"/>
    <w:uiPriority w:val="99"/>
    <w:semiHidden/>
    <w:unhideWhenUsed/>
    <w:rsid w:val="00AD3804"/>
  </w:style>
  <w:style w:type="character" w:customStyle="1" w:styleId="Char">
    <w:name w:val="批注文字 Char"/>
    <w:basedOn w:val="a0"/>
    <w:link w:val="a4"/>
    <w:uiPriority w:val="99"/>
    <w:semiHidden/>
    <w:rsid w:val="00AD3804"/>
  </w:style>
  <w:style w:type="paragraph" w:styleId="a5">
    <w:name w:val="annotation subject"/>
    <w:basedOn w:val="a4"/>
    <w:next w:val="a4"/>
    <w:link w:val="Char0"/>
    <w:uiPriority w:val="99"/>
    <w:semiHidden/>
    <w:unhideWhenUsed/>
    <w:rsid w:val="00AD3804"/>
    <w:rPr>
      <w:b/>
      <w:bCs/>
    </w:rPr>
  </w:style>
  <w:style w:type="character" w:customStyle="1" w:styleId="Char0">
    <w:name w:val="批注主题 Char"/>
    <w:basedOn w:val="Char"/>
    <w:link w:val="a5"/>
    <w:uiPriority w:val="99"/>
    <w:semiHidden/>
    <w:rsid w:val="00AD3804"/>
    <w:rPr>
      <w:b/>
      <w:bCs/>
    </w:rPr>
  </w:style>
  <w:style w:type="paragraph" w:styleId="a6">
    <w:name w:val="Balloon Text"/>
    <w:basedOn w:val="a"/>
    <w:link w:val="Char1"/>
    <w:uiPriority w:val="99"/>
    <w:semiHidden/>
    <w:unhideWhenUsed/>
    <w:rsid w:val="00AD3804"/>
    <w:rPr>
      <w:sz w:val="18"/>
      <w:szCs w:val="18"/>
    </w:rPr>
  </w:style>
  <w:style w:type="character" w:customStyle="1" w:styleId="Char1">
    <w:name w:val="批注框文本 Char"/>
    <w:basedOn w:val="a0"/>
    <w:link w:val="a6"/>
    <w:uiPriority w:val="99"/>
    <w:semiHidden/>
    <w:rsid w:val="00AD3804"/>
    <w:rPr>
      <w:sz w:val="18"/>
      <w:szCs w:val="18"/>
    </w:rPr>
  </w:style>
  <w:style w:type="character" w:styleId="a7">
    <w:name w:val="Hyperlink"/>
    <w:basedOn w:val="a0"/>
    <w:uiPriority w:val="99"/>
    <w:unhideWhenUsed/>
    <w:rsid w:val="008C60C5"/>
    <w:rPr>
      <w:color w:val="0000FF"/>
      <w:u w:val="single"/>
    </w:rPr>
  </w:style>
  <w:style w:type="paragraph" w:styleId="a8">
    <w:name w:val="List Paragraph"/>
    <w:basedOn w:val="a"/>
    <w:uiPriority w:val="34"/>
    <w:qFormat/>
    <w:rsid w:val="008C60C5"/>
    <w:pPr>
      <w:ind w:firstLineChars="200" w:firstLine="420"/>
    </w:pPr>
  </w:style>
  <w:style w:type="character" w:styleId="a9">
    <w:name w:val="FollowedHyperlink"/>
    <w:basedOn w:val="a0"/>
    <w:uiPriority w:val="99"/>
    <w:semiHidden/>
    <w:unhideWhenUsed/>
    <w:rsid w:val="008C60C5"/>
    <w:rPr>
      <w:color w:val="800080" w:themeColor="followedHyperlink"/>
      <w:u w:val="single"/>
    </w:rPr>
  </w:style>
  <w:style w:type="table" w:styleId="aa">
    <w:name w:val="Table Grid"/>
    <w:basedOn w:val="a1"/>
    <w:uiPriority w:val="59"/>
    <w:rsid w:val="00862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3011102">
      <w:bodyDiv w:val="1"/>
      <w:marLeft w:val="0"/>
      <w:marRight w:val="0"/>
      <w:marTop w:val="0"/>
      <w:marBottom w:val="0"/>
      <w:divBdr>
        <w:top w:val="none" w:sz="0" w:space="0" w:color="auto"/>
        <w:left w:val="none" w:sz="0" w:space="0" w:color="auto"/>
        <w:bottom w:val="none" w:sz="0" w:space="0" w:color="auto"/>
        <w:right w:val="none" w:sz="0" w:space="0" w:color="auto"/>
      </w:divBdr>
    </w:div>
    <w:div w:id="195998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v-sud.chinah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35831;&#21457;&#36865;&#37038;&#20214;&#21040;Career.campus@tuv-sud.cn"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20BA9-7438-4E01-9105-F749D2FF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TÜV SÜD</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yuyu</dc:creator>
  <cp:lastModifiedBy>SherWin-ChinaHR</cp:lastModifiedBy>
  <cp:revision>50</cp:revision>
  <cp:lastPrinted>2012-04-18T06:09:00Z</cp:lastPrinted>
  <dcterms:created xsi:type="dcterms:W3CDTF">2012-04-18T06:11:00Z</dcterms:created>
  <dcterms:modified xsi:type="dcterms:W3CDTF">2012-05-06T03:37:00Z</dcterms:modified>
</cp:coreProperties>
</file>