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adjustRightInd/>
        <w:snapToGrid/>
        <w:spacing w:after="0" w:line="375" w:lineRule="atLeast"/>
        <w:ind w:firstLine="420"/>
        <w:jc w:val="center"/>
        <w:rPr>
          <w:rFonts w:ascii="宋体" w:hAnsi="宋体" w:eastAsia="宋体" w:cs="宋体"/>
          <w:b/>
          <w:bCs/>
          <w:color w:val="000000" w:themeColor="text1"/>
          <w:sz w:val="32"/>
          <w:szCs w:val="32"/>
        </w:rPr>
      </w:pPr>
      <w:bookmarkStart w:id="0" w:name="_GoBack"/>
      <w:r>
        <w:rPr>
          <w:rFonts w:hint="eastAsia" w:ascii="宋体" w:hAnsi="宋体" w:eastAsia="宋体" w:cs="宋体"/>
          <w:b/>
          <w:bCs/>
          <w:color w:val="000000" w:themeColor="text1"/>
          <w:sz w:val="32"/>
          <w:szCs w:val="32"/>
        </w:rPr>
        <w:t>南京财经大学2016年公开招聘工作人员公告</w:t>
      </w:r>
      <w:r>
        <w:rPr>
          <w:rFonts w:hint="eastAsia" w:ascii="宋体" w:hAnsi="宋体" w:eastAsia="宋体" w:cs="宋体"/>
          <w:b/>
          <w:bCs/>
          <w:color w:val="000000" w:themeColor="text1"/>
          <w:sz w:val="32"/>
          <w:szCs w:val="32"/>
        </w:rPr>
        <w:br w:type="textWrapping"/>
      </w:r>
    </w:p>
    <w:p>
      <w:pPr>
        <w:adjustRightInd/>
        <w:snapToGrid/>
        <w:spacing w:after="0" w:line="375" w:lineRule="atLeast"/>
        <w:ind w:firstLine="420"/>
        <w:rPr>
          <w:rFonts w:hint="eastAsia" w:ascii="宋体" w:hAnsi="宋体" w:eastAsia="宋体" w:cs="宋体"/>
          <w:color w:val="000000" w:themeColor="text1"/>
          <w:sz w:val="21"/>
          <w:szCs w:val="21"/>
        </w:rPr>
      </w:pPr>
      <w:r>
        <w:rPr>
          <w:rFonts w:ascii="宋体" w:hAnsi="宋体" w:eastAsia="宋体" w:cs="宋体"/>
          <w:b/>
          <w:bCs/>
          <w:color w:val="000000" w:themeColor="text1"/>
          <w:sz w:val="24"/>
          <w:szCs w:val="24"/>
        </w:rPr>
        <w:t>学校简介：</w:t>
      </w: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南京财经大学是一所以经济管理类学科为主，经济学、管理学、法学、工学、文学、理学等多学科支撑配套、协调发展的江苏省属重点建设大学。2000年，学校由原南京经济学院、江苏财经高等专科学校、江苏经济管理干部学院三校合并组建而成。2003年4月，经教育部批准，学校由南京经济学院正式更名为南京财经大学。2006年，学校在教育部本科教学工作水平评估中获得优秀。</w:t>
      </w:r>
    </w:p>
    <w:p>
      <w:pPr>
        <w:adjustRightInd/>
        <w:snapToGrid/>
        <w:spacing w:after="0" w:line="375" w:lineRule="atLeast"/>
        <w:ind w:firstLine="420"/>
        <w:rPr>
          <w:rFonts w:ascii="宋体" w:hAnsi="宋体" w:eastAsia="宋体" w:cs="宋体"/>
          <w:color w:val="000000"/>
          <w:sz w:val="21"/>
          <w:szCs w:val="21"/>
        </w:rPr>
      </w:pP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历经多年改革建设，依托新的发展机制，南京财经大学的知名度迅速扩大，社会影响力逐步提升，办学实力明显增强，整体面貌焕然一新，实现了超常规、跨越式发展。</w:t>
      </w:r>
    </w:p>
    <w:p>
      <w:pPr>
        <w:adjustRightInd/>
        <w:snapToGrid/>
        <w:spacing w:after="0"/>
        <w:rPr>
          <w:rFonts w:ascii="宋体" w:hAnsi="宋体" w:eastAsia="宋体" w:cs="宋体"/>
          <w:sz w:val="24"/>
          <w:szCs w:val="24"/>
        </w:rPr>
      </w:pP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学校现设有经济学院、国际经贸学院、金融学院、财政与税务学院、会计学院、工商管理学院、营销与物流管理学院、管理科学与工程学院、法学院、食品科学与工程学院、信息工程学院、马克思主义学院、公共管理学院、新闻学院、外国语学院、艺术设计学院、应用数学学院、体育部等18个教学院系（部），1个民办本科学院红山学院。共设有应用经济学硕士学位一级学科1个，政治经济学、西方经济学、国民经济学、区域经济学、财政学、金融学、产业经济学、国际贸易学、劳动经济学、统计学、数量经济学、国防经济学、会计学、企业管理学、国际法学、马克思主义基本理论、思想政治教育、英语语言文学、应用数学、计算机应用技术、食品科学、农产品加工及贮藏工程等硕士学位二级学科22个，经济学、国际经济与贸易、财政学、金融学、贸易经济、保险、金融工程、税务、统计学、工商管理、市场营销、会计学、财务管理、人力资源管理、旅游管理、审计学、电子商务、物流管理、资产评估、管理科学、信息管理与信息系统、公共事业管理、劳动与社会保障、法学、社会工作、英语、新闻学、广告学、艺术设计、动画、数学与应用数学、应用化学、机械设计制造及其自动化、计算机科学与技术、食品科学与工程、食品质量与安全、工业工程、生物工程等38个本科专业和会计、烹饪工艺等专科专业，基本形成了经济学类、管理学类学科齐全，法学、工学、文学、理学类专业相互依托，支撑配套的学科专业布局，在林立的江苏高校中拥有明显的结构优势。</w:t>
      </w: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 xml:space="preserve">    </w:t>
      </w:r>
      <w:r>
        <w:rPr>
          <w:rFonts w:ascii="宋体" w:hAnsi="宋体" w:eastAsia="宋体" w:cs="宋体"/>
          <w:color w:val="000000"/>
          <w:sz w:val="21"/>
          <w:szCs w:val="21"/>
        </w:rPr>
        <w:t>学校现有在校全日制学生20000余人。成人教育和自学考试也取得了较大突破。</w:t>
      </w: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学校拥有较为雄厚的教学、科研力量，现有在职教职工1719人，专任教师1073人，其中教授150人，副教授433人；教师中具有研究生学位的683人，其中博士220人。教师中有23人获国家级有突出贡献中青年专家称号或享受国务院政府特殊津贴，50余人获省部级专家、省级跨世纪学术带头人、优秀学科带头人、优秀青年骨干教师称号。</w:t>
      </w: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学校现有产业经济学、金融学、企业管理、统计学等4个江苏省重点学科；电子商务实验室和粮油品质控制及深加工技术实验室等2个江苏省重点实验室；产业经济学、统计学等2个江苏省高校优秀学科梯队。经济学类应用型人才培养模式创新实验区1个国家级人才培养模式创新实验区，食品科学与工程1个国家级第一类特色专业建设点。统计学、会计学、贸易经济等3个江苏省高等学校品牌专业，法学1个江苏省高等学校品牌专业建设点；经济学、国际经济与贸易、金融学、市场营销等4个江苏省高等学校特色专业，食品科学与工程、电子商务等2个江苏省高等学校特色专业建设点。</w:t>
      </w:r>
    </w:p>
    <w:p>
      <w:pPr>
        <w:adjustRightInd/>
        <w:snapToGrid/>
        <w:spacing w:after="0" w:line="375" w:lineRule="atLeast"/>
        <w:ind w:firstLine="420"/>
        <w:rPr>
          <w:rFonts w:ascii="宋体" w:hAnsi="宋体" w:eastAsia="宋体" w:cs="宋体"/>
          <w:color w:val="000000"/>
          <w:sz w:val="21"/>
          <w:szCs w:val="21"/>
        </w:rPr>
      </w:pP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近年来，学校教师主持、承担国家级、省部级科研项目300多项，获得国家级、省部级优秀教学、科研成果奖励100多项，并多次成功举办高水平国际性学术研讨会和全国性学术研讨会。学校设有江苏产业发展研究院、粮食经济研究所、南京都市圈发展研究中心等20多个学术研究机构和科研院所，校园学术氛围日趋浓厚。学校出版的《产业经济研究》为全国第一本产业经济领域的专业学术期刊，入选CSSCI来源期刊；《南京财经大学学报》为中国人文社会科学核心期刊、全国优秀社科学报、江苏省一级期刊。</w:t>
      </w:r>
    </w:p>
    <w:p>
      <w:pPr>
        <w:adjustRightInd/>
        <w:snapToGrid/>
        <w:spacing w:after="0"/>
        <w:rPr>
          <w:rFonts w:ascii="宋体" w:hAnsi="宋体" w:eastAsia="宋体" w:cs="宋体"/>
          <w:sz w:val="24"/>
          <w:szCs w:val="24"/>
        </w:rPr>
      </w:pP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学校设有中国粮食流通管理培训中心、国家粮食局粮油质量检测工程技术研究中心、经理学院、江苏省财税干部培训中心、广告设计事务所、科技开发服务部等社会服务机构，2001年底，学校被国家经贸委确定为“十五”期间首批承担工商管理培训的56所资格院校之一。近年来，学校为国家经贸委、财政部、国家粮食局、江苏省人民政府、南京市人民政府以及省内外各类企事业单位承担各种研究和咨询项目100多项，培训干部7000余人。学校工科专业产学研一体化步伐明显加快，开发的30余项研究成果转让给相关企业，取得了较好的经济效益和社会效益。</w:t>
      </w: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br w:type="textWrapping"/>
      </w:r>
      <w:r>
        <w:rPr>
          <w:rFonts w:hint="eastAsia" w:ascii="宋体" w:hAnsi="宋体" w:eastAsia="宋体" w:cs="宋体"/>
          <w:color w:val="000000"/>
          <w:sz w:val="21"/>
          <w:szCs w:val="21"/>
          <w:lang w:val="en-US" w:eastAsia="zh-CN"/>
        </w:rPr>
        <w:t xml:space="preserve">    </w:t>
      </w:r>
      <w:r>
        <w:rPr>
          <w:rFonts w:ascii="宋体" w:hAnsi="宋体" w:eastAsia="宋体" w:cs="宋体"/>
          <w:color w:val="000000"/>
          <w:sz w:val="21"/>
          <w:szCs w:val="21"/>
        </w:rPr>
        <w:t>学校先后与美国、英国、法国、加拿大、澳大利亚、日本、俄罗斯等国家以及香港、台湾等地区的60余所大学及相关科研院所，与联合国粮农组织、世界银行等国际组织建立了全方位的合作交流关系和广泛的学术联系。</w:t>
      </w:r>
    </w:p>
    <w:p>
      <w:pPr>
        <w:adjustRightInd/>
        <w:snapToGrid/>
        <w:spacing w:after="0" w:line="375" w:lineRule="atLeast"/>
        <w:ind w:firstLine="420"/>
        <w:rPr>
          <w:rFonts w:ascii="宋体" w:hAnsi="宋体" w:eastAsia="宋体" w:cs="宋体"/>
          <w:color w:val="000000"/>
          <w:sz w:val="21"/>
          <w:szCs w:val="21"/>
        </w:rPr>
      </w:pPr>
    </w:p>
    <w:p>
      <w:pPr>
        <w:adjustRightInd/>
        <w:snapToGrid/>
        <w:spacing w:after="0" w:line="375" w:lineRule="atLeast"/>
        <w:ind w:firstLine="420"/>
        <w:rPr>
          <w:rFonts w:hint="eastAsia" w:ascii="宋体" w:hAnsi="宋体" w:eastAsia="宋体" w:cs="宋体"/>
          <w:color w:val="000000"/>
          <w:sz w:val="21"/>
          <w:szCs w:val="21"/>
        </w:rPr>
      </w:pPr>
      <w:r>
        <w:rPr>
          <w:rFonts w:ascii="宋体" w:hAnsi="宋体" w:eastAsia="宋体" w:cs="宋体"/>
          <w:color w:val="000000"/>
          <w:sz w:val="21"/>
          <w:szCs w:val="21"/>
        </w:rPr>
        <w:t>学校现有仙林、福建路和桥头3个校区，占地面积3004亩，校舍建筑面积80余万平方米；固定资产总值近20亿元，教学科研仪器设备总值1.17亿元；图书馆藏书174万册；建有近200个多媒体教室，100多个各类专业实验室和微机实验室，学生用计算机5522台；校园环境清幽，景色秀美，绿荫掩映，花香四溢。</w:t>
      </w:r>
    </w:p>
    <w:p>
      <w:pPr>
        <w:adjustRightInd/>
        <w:snapToGrid/>
        <w:spacing w:after="0" w:line="375" w:lineRule="atLeast"/>
        <w:ind w:firstLine="420"/>
        <w:rPr>
          <w:rFonts w:ascii="宋体" w:hAnsi="宋体" w:eastAsia="宋体" w:cs="宋体"/>
          <w:color w:val="000000"/>
          <w:sz w:val="21"/>
          <w:szCs w:val="21"/>
        </w:rPr>
      </w:pPr>
    </w:p>
    <w:p>
      <w:pPr>
        <w:adjustRightInd/>
        <w:snapToGrid/>
        <w:spacing w:after="0" w:line="375" w:lineRule="atLeast"/>
        <w:ind w:firstLine="420"/>
        <w:rPr>
          <w:rFonts w:ascii="宋体" w:hAnsi="宋体" w:eastAsia="宋体" w:cs="宋体"/>
          <w:color w:val="000000"/>
          <w:sz w:val="21"/>
          <w:szCs w:val="21"/>
        </w:rPr>
      </w:pPr>
      <w:r>
        <w:rPr>
          <w:rFonts w:ascii="宋体" w:hAnsi="宋体" w:eastAsia="宋体" w:cs="宋体"/>
          <w:color w:val="000000"/>
          <w:sz w:val="21"/>
          <w:szCs w:val="21"/>
        </w:rPr>
        <w:t>面向新的世纪，全校师生将进一步解放思想，锐意进取，争取经过一段时间的努力，把南京财经大学建设成以经济管理类学科为重点，法、工、文、理等学科特色明显，在省内院校的相关学科处于领先水平，跻身国内同类院校前列，在国际上具有一定影响的教学研究型省属重点大学。</w:t>
      </w:r>
    </w:p>
    <w:p>
      <w:pPr>
        <w:adjustRightInd/>
        <w:snapToGrid/>
        <w:spacing w:after="0" w:line="375" w:lineRule="atLeast"/>
        <w:ind w:firstLine="420"/>
        <w:rPr>
          <w:rFonts w:ascii="宋体" w:hAnsi="宋体" w:eastAsia="宋体" w:cs="宋体"/>
          <w:color w:val="000000"/>
          <w:sz w:val="21"/>
          <w:szCs w:val="21"/>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jc w:val="center"/>
        <w:rPr>
          <w:rFonts w:ascii="宋体" w:hAnsi="宋体" w:eastAsia="宋体" w:cs="宋体"/>
          <w:b w:val="0"/>
          <w:i w:val="0"/>
          <w:caps w:val="0"/>
          <w:color w:val="000000"/>
          <w:spacing w:val="0"/>
          <w:sz w:val="21"/>
          <w:szCs w:val="21"/>
        </w:rPr>
      </w:pPr>
      <w:r>
        <w:rPr>
          <w:rFonts w:hint="eastAsia" w:ascii="宋体" w:hAnsi="宋体" w:eastAsia="宋体" w:cs="宋体"/>
          <w:b/>
          <w:i w:val="0"/>
          <w:caps w:val="0"/>
          <w:color w:val="FF6600"/>
          <w:spacing w:val="0"/>
          <w:sz w:val="24"/>
          <w:szCs w:val="24"/>
          <w:bdr w:val="none" w:color="auto" w:sz="0" w:space="0"/>
        </w:rPr>
        <w:t>南京财经大学2016年公开招聘工作人员公告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为加强学校人才队伍建设，南京财经大学（学校网址：www.njue.edu.cn）现面向社会公开招聘优秀人才。现将有关事项公告如下：</w:t>
      </w:r>
    </w:p>
    <w:tbl>
      <w:tblPr>
        <w:tblW w:w="8878" w:type="dxa"/>
        <w:jc w:val="center"/>
        <w:tblCellSpacing w:w="7" w:type="dxa"/>
        <w:tblInd w:w="-23" w:type="dxa"/>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CCCCCC"/>
        <w:tblLayout w:type="fixed"/>
        <w:tblCellMar>
          <w:top w:w="15" w:type="dxa"/>
          <w:left w:w="15" w:type="dxa"/>
          <w:bottom w:w="15" w:type="dxa"/>
          <w:right w:w="15" w:type="dxa"/>
        </w:tblCellMar>
      </w:tblPr>
      <w:tblGrid>
        <w:gridCol w:w="469"/>
        <w:gridCol w:w="681"/>
        <w:gridCol w:w="537"/>
        <w:gridCol w:w="811"/>
        <w:gridCol w:w="566"/>
        <w:gridCol w:w="346"/>
        <w:gridCol w:w="1183"/>
        <w:gridCol w:w="508"/>
        <w:gridCol w:w="350"/>
        <w:gridCol w:w="1155"/>
        <w:gridCol w:w="578"/>
        <w:gridCol w:w="840"/>
        <w:gridCol w:w="854"/>
      </w:tblGrid>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shd w:val="clear" w:color="auto" w:fill="CCCCCC"/>
          <w:tblLayout w:type="fixed"/>
          <w:tblCellMar>
            <w:top w:w="15" w:type="dxa"/>
            <w:left w:w="15" w:type="dxa"/>
            <w:bottom w:w="15" w:type="dxa"/>
            <w:right w:w="15" w:type="dxa"/>
          </w:tblCellMar>
        </w:tblPrEx>
        <w:trPr>
          <w:trHeight w:val="1301" w:hRule="atLeast"/>
          <w:tblHeader/>
          <w:tblCellSpacing w:w="7" w:type="dxa"/>
          <w:jc w:val="center"/>
        </w:trPr>
        <w:tc>
          <w:tcPr>
            <w:tcW w:w="448"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岗位</w:t>
            </w:r>
            <w:r>
              <w:rPr>
                <w:rFonts w:hint="eastAsia" w:ascii="宋体" w:hAnsi="宋体" w:eastAsia="宋体" w:cs="宋体"/>
                <w:b/>
                <w:i w:val="0"/>
                <w:caps w:val="0"/>
                <w:color w:val="FFFFFF"/>
                <w:spacing w:val="0"/>
                <w:kern w:val="0"/>
                <w:sz w:val="18"/>
                <w:szCs w:val="18"/>
                <w:lang w:val="en-US" w:eastAsia="zh-CN" w:bidi="ar"/>
              </w:rPr>
              <w:br w:type="textWrapping"/>
            </w:r>
            <w:r>
              <w:rPr>
                <w:rFonts w:hint="eastAsia" w:ascii="宋体" w:hAnsi="宋体" w:eastAsia="宋体" w:cs="宋体"/>
                <w:b/>
                <w:i w:val="0"/>
                <w:caps w:val="0"/>
                <w:color w:val="FFFFFF"/>
                <w:spacing w:val="0"/>
                <w:kern w:val="0"/>
                <w:sz w:val="18"/>
                <w:szCs w:val="18"/>
                <w:lang w:val="en-US" w:eastAsia="zh-CN" w:bidi="ar"/>
              </w:rPr>
              <w:t>代码</w:t>
            </w:r>
          </w:p>
        </w:tc>
        <w:tc>
          <w:tcPr>
            <w:tcW w:w="669"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招聘单位</w:t>
            </w:r>
          </w:p>
        </w:tc>
        <w:tc>
          <w:tcPr>
            <w:tcW w:w="525"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经费</w:t>
            </w:r>
            <w:r>
              <w:rPr>
                <w:rFonts w:hint="eastAsia" w:ascii="宋体" w:hAnsi="宋体" w:eastAsia="宋体" w:cs="宋体"/>
                <w:b/>
                <w:i w:val="0"/>
                <w:caps w:val="0"/>
                <w:color w:val="FFFFFF"/>
                <w:spacing w:val="0"/>
                <w:kern w:val="0"/>
                <w:sz w:val="18"/>
                <w:szCs w:val="18"/>
                <w:lang w:val="en-US" w:eastAsia="zh-CN" w:bidi="ar"/>
              </w:rPr>
              <w:br w:type="textWrapping"/>
            </w:r>
            <w:r>
              <w:rPr>
                <w:rFonts w:hint="eastAsia" w:ascii="宋体" w:hAnsi="宋体" w:eastAsia="宋体" w:cs="宋体"/>
                <w:b/>
                <w:i w:val="0"/>
                <w:caps w:val="0"/>
                <w:color w:val="FFFFFF"/>
                <w:spacing w:val="0"/>
                <w:kern w:val="0"/>
                <w:sz w:val="18"/>
                <w:szCs w:val="18"/>
                <w:lang w:val="en-US" w:eastAsia="zh-CN" w:bidi="ar"/>
              </w:rPr>
              <w:t>来源</w:t>
            </w:r>
          </w:p>
        </w:tc>
        <w:tc>
          <w:tcPr>
            <w:tcW w:w="799"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招聘岗位名称</w:t>
            </w:r>
          </w:p>
        </w:tc>
        <w:tc>
          <w:tcPr>
            <w:tcW w:w="554"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岗位类别</w:t>
            </w:r>
            <w:r>
              <w:rPr>
                <w:rFonts w:hint="eastAsia" w:ascii="宋体" w:hAnsi="宋体" w:eastAsia="宋体" w:cs="宋体"/>
                <w:b/>
                <w:i w:val="0"/>
                <w:caps w:val="0"/>
                <w:color w:val="FFFFFF"/>
                <w:spacing w:val="0"/>
                <w:kern w:val="0"/>
                <w:sz w:val="18"/>
                <w:szCs w:val="18"/>
                <w:lang w:val="en-US" w:eastAsia="zh-CN" w:bidi="ar"/>
              </w:rPr>
              <w:br w:type="textWrapping"/>
            </w:r>
            <w:r>
              <w:rPr>
                <w:rFonts w:hint="eastAsia" w:ascii="宋体" w:hAnsi="宋体" w:eastAsia="宋体" w:cs="宋体"/>
                <w:b/>
                <w:i w:val="0"/>
                <w:caps w:val="0"/>
                <w:color w:val="FFFFFF"/>
                <w:spacing w:val="0"/>
                <w:kern w:val="0"/>
                <w:sz w:val="18"/>
                <w:szCs w:val="18"/>
                <w:lang w:val="en-US" w:eastAsia="zh-CN" w:bidi="ar"/>
              </w:rPr>
              <w:t>及其等级</w:t>
            </w:r>
          </w:p>
        </w:tc>
        <w:tc>
          <w:tcPr>
            <w:tcW w:w="334"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人数</w:t>
            </w:r>
          </w:p>
        </w:tc>
        <w:tc>
          <w:tcPr>
            <w:tcW w:w="1171"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专业</w:t>
            </w:r>
          </w:p>
        </w:tc>
        <w:tc>
          <w:tcPr>
            <w:tcW w:w="496"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学历</w:t>
            </w:r>
          </w:p>
        </w:tc>
        <w:tc>
          <w:tcPr>
            <w:tcW w:w="338"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学位</w:t>
            </w:r>
          </w:p>
        </w:tc>
        <w:tc>
          <w:tcPr>
            <w:tcW w:w="1143"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其它资格条件</w:t>
            </w:r>
          </w:p>
        </w:tc>
        <w:tc>
          <w:tcPr>
            <w:tcW w:w="566"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招聘对象</w:t>
            </w:r>
          </w:p>
        </w:tc>
        <w:tc>
          <w:tcPr>
            <w:tcW w:w="828"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单位所在地</w:t>
            </w:r>
          </w:p>
        </w:tc>
        <w:tc>
          <w:tcPr>
            <w:tcW w:w="833" w:type="dxa"/>
            <w:shd w:val="clear" w:color="auto" w:fill="CC3300"/>
            <w:vAlign w:val="center"/>
          </w:tcPr>
          <w:p>
            <w:pPr>
              <w:keepNext w:val="0"/>
              <w:keepLines w:val="0"/>
              <w:widowControl/>
              <w:suppressLineNumbers w:val="0"/>
              <w:spacing w:line="300" w:lineRule="atLeast"/>
              <w:ind w:left="0" w:firstLine="0"/>
              <w:jc w:val="center"/>
              <w:rPr>
                <w:rFonts w:hint="eastAsia" w:ascii="宋体" w:hAnsi="宋体" w:eastAsia="宋体" w:cs="宋体"/>
                <w:b/>
                <w:i w:val="0"/>
                <w:caps w:val="0"/>
                <w:color w:val="FFFFFF"/>
                <w:spacing w:val="0"/>
                <w:sz w:val="18"/>
                <w:szCs w:val="18"/>
              </w:rPr>
            </w:pPr>
            <w:r>
              <w:rPr>
                <w:rFonts w:hint="eastAsia" w:ascii="宋体" w:hAnsi="宋体" w:eastAsia="宋体" w:cs="宋体"/>
                <w:b/>
                <w:i w:val="0"/>
                <w:caps w:val="0"/>
                <w:color w:val="FFFFFF"/>
                <w:spacing w:val="0"/>
                <w:kern w:val="0"/>
                <w:sz w:val="18"/>
                <w:szCs w:val="18"/>
                <w:lang w:val="en-US" w:eastAsia="zh-CN" w:bidi="ar"/>
              </w:rPr>
              <w:t>其他</w:t>
            </w:r>
            <w:r>
              <w:rPr>
                <w:rFonts w:hint="eastAsia" w:ascii="宋体" w:hAnsi="宋体" w:eastAsia="宋体" w:cs="宋体"/>
                <w:b/>
                <w:i w:val="0"/>
                <w:caps w:val="0"/>
                <w:color w:val="FFFFFF"/>
                <w:spacing w:val="0"/>
                <w:kern w:val="0"/>
                <w:sz w:val="18"/>
                <w:szCs w:val="18"/>
                <w:lang w:val="en-US" w:eastAsia="zh-CN" w:bidi="ar"/>
              </w:rPr>
              <w:br w:type="textWrapping"/>
            </w:r>
            <w:r>
              <w:rPr>
                <w:rFonts w:hint="eastAsia" w:ascii="宋体" w:hAnsi="宋体" w:eastAsia="宋体" w:cs="宋体"/>
                <w:b/>
                <w:i w:val="0"/>
                <w:caps w:val="0"/>
                <w:color w:val="FFFFFF"/>
                <w:spacing w:val="0"/>
                <w:kern w:val="0"/>
                <w:sz w:val="18"/>
                <w:szCs w:val="18"/>
                <w:lang w:val="en-US" w:eastAsia="zh-CN" w:bidi="ar"/>
              </w:rPr>
              <w:t>说明</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01</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学科建设管理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管理</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经济类、技术经济及管理、行政管理</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熟悉计算机使用技能及软件应用，有管理机构实践经历者优先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02</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教务管理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管理</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高等教育学、行政管理、</w:t>
            </w:r>
            <w:r>
              <w:rPr>
                <w:rFonts w:hint="eastAsia" w:ascii="宋体" w:hAnsi="宋体" w:eastAsia="宋体" w:cs="宋体"/>
                <w:b w:val="0"/>
                <w:i w:val="0"/>
                <w:caps w:val="0"/>
                <w:color w:val="000000"/>
                <w:spacing w:val="0"/>
                <w:kern w:val="0"/>
                <w:sz w:val="18"/>
                <w:szCs w:val="18"/>
                <w:bdr w:val="none" w:color="auto" w:sz="0" w:space="0"/>
                <w:lang w:val="en-US" w:eastAsia="zh-CN" w:bidi="ar"/>
              </w:rPr>
              <w:br w:type="textWrapping"/>
            </w:r>
            <w:r>
              <w:rPr>
                <w:rFonts w:hint="eastAsia" w:ascii="宋体" w:hAnsi="宋体" w:eastAsia="宋体" w:cs="宋体"/>
                <w:b w:val="0"/>
                <w:i w:val="0"/>
                <w:caps w:val="0"/>
                <w:color w:val="000000"/>
                <w:spacing w:val="0"/>
                <w:kern w:val="0"/>
                <w:sz w:val="18"/>
                <w:szCs w:val="18"/>
                <w:bdr w:val="none" w:color="auto" w:sz="0" w:space="0"/>
                <w:lang w:val="en-US" w:eastAsia="zh-CN" w:bidi="ar"/>
              </w:rPr>
              <w:t>计算机应用技术</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熟悉教务管理工作或有管理机构实践经历者优先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03</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通识教育教学管理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管理</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公共管理类、工商管理类、高等教育学</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熟悉教务管理工作或有管理机构实践经历者优先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552"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04</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学生事务管理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管理</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高等教育学、行政管理</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有较好的沟通能力和计算机应用能力，有管理机构实践经历者优先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05</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学生事务管理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管理</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公共管理类、工商管理类</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有较强的文字写作能力和较好的沟通交流能力</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850"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06</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科研及外事管理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管理</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工商管理类、农业经济管理</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有较强的外文文献查阅能力和文字写作能力，有科研或教学实践经历，留学回国人员优先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57"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07</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实验室管理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测试计量技术及仪器</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57"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08</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实验室管理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分析化学</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57"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09</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实验室管理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2</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计算机应用技术</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116"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10</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实验室管理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食品科学、农产品加工及储藏工程、营养与食品卫生学，粮食、油脂及植物蛋白工程</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57"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11</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实验室管理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设计艺术学、计算机软件与理论</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研究生</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硕士</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值夜班需要，适合男性</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12</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信息化建设与维护</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软件工程、计算机科学与技术、信息管理与信息系统</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本科以上</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学士</w:t>
            </w:r>
            <w:r>
              <w:rPr>
                <w:rFonts w:hint="eastAsia" w:ascii="宋体" w:hAnsi="宋体" w:eastAsia="宋体" w:cs="宋体"/>
                <w:b w:val="0"/>
                <w:i w:val="0"/>
                <w:caps w:val="0"/>
                <w:color w:val="000000"/>
                <w:spacing w:val="0"/>
                <w:kern w:val="0"/>
                <w:sz w:val="18"/>
                <w:szCs w:val="18"/>
                <w:bdr w:val="none" w:color="auto" w:sz="0" w:space="0"/>
                <w:lang w:val="en-US" w:eastAsia="zh-CN" w:bidi="ar"/>
              </w:rPr>
              <w:br w:type="textWrapping"/>
            </w:r>
            <w:r>
              <w:rPr>
                <w:rFonts w:hint="eastAsia" w:ascii="宋体" w:hAnsi="宋体" w:eastAsia="宋体" w:cs="宋体"/>
                <w:b w:val="0"/>
                <w:i w:val="0"/>
                <w:caps w:val="0"/>
                <w:color w:val="000000"/>
                <w:spacing w:val="0"/>
                <w:kern w:val="0"/>
                <w:sz w:val="18"/>
                <w:szCs w:val="18"/>
                <w:bdr w:val="none" w:color="auto" w:sz="0" w:space="0"/>
                <w:lang w:val="en-US" w:eastAsia="zh-CN" w:bidi="ar"/>
              </w:rPr>
              <w:t>以上</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有网络建设与管理者优先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552"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13</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水电技术管理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建筑电气与智能化、能源与动力工程、热能与动力工程、能源工程及自动化</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本科以上</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学士</w:t>
            </w:r>
            <w:r>
              <w:rPr>
                <w:rFonts w:hint="eastAsia" w:ascii="宋体" w:hAnsi="宋体" w:eastAsia="宋体" w:cs="宋体"/>
                <w:b w:val="0"/>
                <w:i w:val="0"/>
                <w:caps w:val="0"/>
                <w:color w:val="000000"/>
                <w:spacing w:val="0"/>
                <w:kern w:val="0"/>
                <w:sz w:val="18"/>
                <w:szCs w:val="18"/>
                <w:bdr w:val="none" w:color="auto" w:sz="0" w:space="0"/>
                <w:lang w:val="en-US" w:eastAsia="zh-CN" w:bidi="ar"/>
              </w:rPr>
              <w:br w:type="textWrapping"/>
            </w:r>
            <w:r>
              <w:rPr>
                <w:rFonts w:hint="eastAsia" w:ascii="宋体" w:hAnsi="宋体" w:eastAsia="宋体" w:cs="宋体"/>
                <w:b w:val="0"/>
                <w:i w:val="0"/>
                <w:caps w:val="0"/>
                <w:color w:val="000000"/>
                <w:spacing w:val="0"/>
                <w:kern w:val="0"/>
                <w:sz w:val="18"/>
                <w:szCs w:val="18"/>
                <w:bdr w:val="none" w:color="auto" w:sz="0" w:space="0"/>
                <w:lang w:val="en-US" w:eastAsia="zh-CN" w:bidi="ar"/>
              </w:rPr>
              <w:t>以上</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值夜班需要，适合男性</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14</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土木工程管理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工程造价、工程造价管理、土木工程、工程管理</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本科以上</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学士</w:t>
            </w:r>
            <w:r>
              <w:rPr>
                <w:rFonts w:hint="eastAsia" w:ascii="宋体" w:hAnsi="宋体" w:eastAsia="宋体" w:cs="宋体"/>
                <w:b w:val="0"/>
                <w:i w:val="0"/>
                <w:caps w:val="0"/>
                <w:color w:val="000000"/>
                <w:spacing w:val="0"/>
                <w:kern w:val="0"/>
                <w:sz w:val="18"/>
                <w:szCs w:val="18"/>
                <w:bdr w:val="none" w:color="auto" w:sz="0" w:space="0"/>
                <w:lang w:val="en-US" w:eastAsia="zh-CN" w:bidi="ar"/>
              </w:rPr>
              <w:br w:type="textWrapping"/>
            </w:r>
            <w:r>
              <w:rPr>
                <w:rFonts w:hint="eastAsia" w:ascii="宋体" w:hAnsi="宋体" w:eastAsia="宋体" w:cs="宋体"/>
                <w:b w:val="0"/>
                <w:i w:val="0"/>
                <w:caps w:val="0"/>
                <w:color w:val="000000"/>
                <w:spacing w:val="0"/>
                <w:kern w:val="0"/>
                <w:sz w:val="18"/>
                <w:szCs w:val="18"/>
                <w:bdr w:val="none" w:color="auto" w:sz="0" w:space="0"/>
                <w:lang w:val="en-US" w:eastAsia="zh-CN" w:bidi="ar"/>
              </w:rPr>
              <w:t>以上</w:t>
            </w:r>
          </w:p>
        </w:tc>
        <w:tc>
          <w:tcPr>
            <w:tcW w:w="1143"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254"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15</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绿化养护管理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风景园林、园艺、园林、园林植物与观赏园艺</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本科以上</w:t>
            </w:r>
          </w:p>
        </w:tc>
        <w:tc>
          <w:tcPr>
            <w:tcW w:w="33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学士</w:t>
            </w:r>
            <w:r>
              <w:rPr>
                <w:rFonts w:hint="eastAsia" w:ascii="宋体" w:hAnsi="宋体" w:eastAsia="宋体" w:cs="宋体"/>
                <w:b w:val="0"/>
                <w:i w:val="0"/>
                <w:caps w:val="0"/>
                <w:color w:val="000000"/>
                <w:spacing w:val="0"/>
                <w:kern w:val="0"/>
                <w:sz w:val="18"/>
                <w:szCs w:val="18"/>
                <w:bdr w:val="none" w:color="auto" w:sz="0" w:space="0"/>
                <w:lang w:val="en-US" w:eastAsia="zh-CN" w:bidi="ar"/>
              </w:rPr>
              <w:br w:type="textWrapping"/>
            </w:r>
            <w:r>
              <w:rPr>
                <w:rFonts w:hint="eastAsia" w:ascii="宋体" w:hAnsi="宋体" w:eastAsia="宋体" w:cs="宋体"/>
                <w:b w:val="0"/>
                <w:i w:val="0"/>
                <w:caps w:val="0"/>
                <w:color w:val="000000"/>
                <w:spacing w:val="0"/>
                <w:kern w:val="0"/>
                <w:sz w:val="18"/>
                <w:szCs w:val="18"/>
                <w:bdr w:val="none" w:color="auto" w:sz="0" w:space="0"/>
                <w:lang w:val="en-US" w:eastAsia="zh-CN" w:bidi="ar"/>
              </w:rPr>
              <w:t>以上</w:t>
            </w: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有绿化养护实践经历者优先</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957"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16</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物业管理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物业管理、物业设施管理</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专科以上</w:t>
            </w:r>
          </w:p>
        </w:tc>
        <w:tc>
          <w:tcPr>
            <w:tcW w:w="338"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值夜班需要，适合男性</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r>
        <w:tblPrEx>
          <w:tblBorders>
            <w:top w:val="none" w:color="auto" w:sz="6" w:space="0"/>
            <w:left w:val="none" w:color="auto" w:sz="6" w:space="0"/>
            <w:bottom w:val="none" w:color="auto" w:sz="6" w:space="0"/>
            <w:right w:val="none" w:color="auto" w:sz="6" w:space="0"/>
            <w:insideH w:val="none" w:color="auto" w:sz="0" w:space="0"/>
            <w:insideV w:val="none" w:color="auto" w:sz="0" w:space="0"/>
          </w:tblBorders>
          <w:tblLayout w:type="fixed"/>
          <w:tblCellMar>
            <w:top w:w="15" w:type="dxa"/>
            <w:left w:w="15" w:type="dxa"/>
            <w:bottom w:w="15" w:type="dxa"/>
            <w:right w:w="15" w:type="dxa"/>
          </w:tblCellMar>
        </w:tblPrEx>
        <w:trPr>
          <w:trHeight w:val="1559" w:hRule="atLeast"/>
          <w:tblCellSpacing w:w="7" w:type="dxa"/>
          <w:jc w:val="center"/>
        </w:trPr>
        <w:tc>
          <w:tcPr>
            <w:tcW w:w="44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17</w:t>
            </w:r>
          </w:p>
        </w:tc>
        <w:tc>
          <w:tcPr>
            <w:tcW w:w="66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南京财经大学</w:t>
            </w:r>
          </w:p>
        </w:tc>
        <w:tc>
          <w:tcPr>
            <w:tcW w:w="525"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全额拨款</w:t>
            </w:r>
          </w:p>
        </w:tc>
        <w:tc>
          <w:tcPr>
            <w:tcW w:w="799"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食品安全管理</w:t>
            </w:r>
          </w:p>
        </w:tc>
        <w:tc>
          <w:tcPr>
            <w:tcW w:w="55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专技</w:t>
            </w:r>
          </w:p>
        </w:tc>
        <w:tc>
          <w:tcPr>
            <w:tcW w:w="334"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1</w:t>
            </w:r>
          </w:p>
        </w:tc>
        <w:tc>
          <w:tcPr>
            <w:tcW w:w="1171"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食品卫生检验、食品检测及管理、食品质量与安全监管、餐饮食品安全</w:t>
            </w:r>
          </w:p>
        </w:tc>
        <w:tc>
          <w:tcPr>
            <w:tcW w:w="49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专科以上</w:t>
            </w:r>
          </w:p>
        </w:tc>
        <w:tc>
          <w:tcPr>
            <w:tcW w:w="338" w:type="dxa"/>
            <w:shd w:val="clear" w:color="auto" w:fill="FFFFFF"/>
            <w:tcMar>
              <w:top w:w="75" w:type="dxa"/>
              <w:left w:w="75" w:type="dxa"/>
              <w:bottom w:w="75" w:type="dxa"/>
              <w:right w:w="75" w:type="dxa"/>
            </w:tcMar>
            <w:vAlign w:val="center"/>
          </w:tcPr>
          <w:p>
            <w:pPr>
              <w:jc w:val="center"/>
              <w:rPr>
                <w:rFonts w:hint="eastAsia" w:ascii="宋体" w:hAnsi="宋体" w:eastAsia="宋体" w:cs="宋体"/>
                <w:b w:val="0"/>
                <w:i w:val="0"/>
                <w:caps w:val="0"/>
                <w:color w:val="000000"/>
                <w:spacing w:val="0"/>
                <w:sz w:val="18"/>
                <w:szCs w:val="18"/>
              </w:rPr>
            </w:pPr>
          </w:p>
        </w:tc>
        <w:tc>
          <w:tcPr>
            <w:tcW w:w="114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具有食品安全相关职业资格证书</w:t>
            </w:r>
          </w:p>
        </w:tc>
        <w:tc>
          <w:tcPr>
            <w:tcW w:w="566"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不限</w:t>
            </w:r>
          </w:p>
        </w:tc>
        <w:tc>
          <w:tcPr>
            <w:tcW w:w="828"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南京市文苑路3号</w:t>
            </w:r>
          </w:p>
        </w:tc>
        <w:tc>
          <w:tcPr>
            <w:tcW w:w="833" w:type="dxa"/>
            <w:shd w:val="clear" w:color="auto" w:fill="FFFFFF"/>
            <w:tcMar>
              <w:top w:w="75" w:type="dxa"/>
              <w:left w:w="75" w:type="dxa"/>
              <w:bottom w:w="75" w:type="dxa"/>
              <w:right w:w="75" w:type="dxa"/>
            </w:tcMar>
            <w:vAlign w:val="center"/>
          </w:tcPr>
          <w:p>
            <w:pPr>
              <w:keepNext w:val="0"/>
              <w:keepLines w:val="0"/>
              <w:widowControl/>
              <w:suppressLineNumbers w:val="0"/>
              <w:spacing w:line="300" w:lineRule="atLeast"/>
              <w:ind w:left="0" w:firstLine="0"/>
              <w:jc w:val="center"/>
              <w:rPr>
                <w:rFonts w:hint="eastAsia" w:ascii="宋体" w:hAnsi="宋体" w:eastAsia="宋体" w:cs="宋体"/>
                <w:b w:val="0"/>
                <w:i w:val="0"/>
                <w:caps w:val="0"/>
                <w:color w:val="000000"/>
                <w:spacing w:val="0"/>
                <w:sz w:val="18"/>
                <w:szCs w:val="18"/>
              </w:rPr>
            </w:pPr>
            <w:r>
              <w:rPr>
                <w:rFonts w:hint="eastAsia" w:ascii="宋体" w:hAnsi="宋体" w:eastAsia="宋体" w:cs="宋体"/>
                <w:b w:val="0"/>
                <w:i w:val="0"/>
                <w:caps w:val="0"/>
                <w:color w:val="000000"/>
                <w:spacing w:val="0"/>
                <w:kern w:val="0"/>
                <w:sz w:val="18"/>
                <w:szCs w:val="18"/>
                <w:bdr w:val="none" w:color="auto" w:sz="0" w:space="0"/>
                <w:lang w:val="en-US" w:eastAsia="zh-CN" w:bidi="ar"/>
              </w:rPr>
              <w:t>人事代理</w:t>
            </w:r>
          </w:p>
        </w:tc>
      </w:tr>
    </w:tbl>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注：本次招聘专业名称参照2016年江苏省公务员考试专业参考目录。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一、资格条件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（一）具有中华人民共和国国籍；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（二）遵守中华人民共和国宪法和法律，热爱高等教育事业；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（三）品行良好，具有良好的团队协作精神；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（四）具备应聘岗位所要求的专业知识及实践技能等资格条件（见附件1）；</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（五）具备适应岗位要求的身体条件；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（六）年龄在28周岁以下，即1988年05月23日以后出生；</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bdr w:val="none" w:color="auto" w:sz="0" w:space="0"/>
        </w:rPr>
      </w:pPr>
      <w:r>
        <w:rPr>
          <w:rFonts w:hint="eastAsia" w:ascii="宋体" w:hAnsi="宋体" w:eastAsia="宋体" w:cs="宋体"/>
          <w:b w:val="0"/>
          <w:i w:val="0"/>
          <w:caps w:val="0"/>
          <w:color w:val="000000"/>
          <w:spacing w:val="0"/>
          <w:sz w:val="21"/>
          <w:szCs w:val="21"/>
          <w:bdr w:val="none" w:color="auto" w:sz="0" w:space="0"/>
        </w:rPr>
        <w:t>（七）取得祖国大陆全日制普通高校学历的台湾学生和取得祖国大陆承认学历的其他台湾居民应聘时按苏人社发[2012]418号文件的有关规定执行。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二、报名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（一）报名时间及方式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1、报名时间：2016年5月25日至2016年6月10日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2、报名方式：网络报名</w:t>
      </w:r>
      <w:r>
        <w:rPr>
          <w:rFonts w:hint="eastAsia" w:ascii="宋体" w:hAnsi="宋体" w:eastAsia="宋体" w:cs="宋体"/>
          <w:b w:val="0"/>
          <w:i w:val="0"/>
          <w:caps w:val="0"/>
          <w:color w:val="000000"/>
          <w:spacing w:val="0"/>
          <w:sz w:val="21"/>
          <w:szCs w:val="21"/>
          <w:bdr w:val="none" w:color="auto" w:sz="0" w:space="0"/>
          <w:lang w:eastAsia="zh-CN"/>
        </w:rPr>
        <w:t>，</w:t>
      </w:r>
      <w:r>
        <w:rPr>
          <w:rFonts w:hint="eastAsia" w:ascii="宋体" w:hAnsi="宋体" w:eastAsia="宋体" w:cs="宋体"/>
          <w:b w:val="0"/>
          <w:i w:val="0"/>
          <w:caps w:val="0"/>
          <w:color w:val="000000"/>
          <w:spacing w:val="0"/>
          <w:sz w:val="21"/>
          <w:szCs w:val="21"/>
        </w:rPr>
        <w:t>人事处邮箱（1692576295@qq.com；njuerszp@126.com）。邮件主题请以“</w:t>
      </w:r>
      <w:r>
        <w:rPr>
          <w:rFonts w:hint="eastAsia" w:ascii="宋体" w:hAnsi="宋体" w:eastAsia="宋体" w:cs="宋体"/>
          <w:b w:val="0"/>
          <w:i w:val="0"/>
          <w:caps w:val="0"/>
          <w:color w:val="000000"/>
          <w:spacing w:val="0"/>
          <w:sz w:val="21"/>
          <w:szCs w:val="21"/>
          <w:lang w:eastAsia="zh-CN"/>
        </w:rPr>
        <w:t>研究生招聘网</w:t>
      </w:r>
      <w:r>
        <w:rPr>
          <w:rFonts w:hint="eastAsia" w:ascii="宋体" w:hAnsi="宋体" w:eastAsia="宋体" w:cs="宋体"/>
          <w:b w:val="0"/>
          <w:i w:val="0"/>
          <w:caps w:val="0"/>
          <w:color w:val="000000"/>
          <w:spacing w:val="0"/>
          <w:sz w:val="21"/>
          <w:szCs w:val="21"/>
          <w:lang w:val="en-US" w:eastAsia="zh-CN"/>
        </w:rPr>
        <w:t>+</w:t>
      </w:r>
      <w:r>
        <w:rPr>
          <w:rFonts w:hint="eastAsia" w:ascii="宋体" w:hAnsi="宋体" w:eastAsia="宋体" w:cs="宋体"/>
          <w:b w:val="0"/>
          <w:i w:val="0"/>
          <w:caps w:val="0"/>
          <w:color w:val="000000"/>
          <w:spacing w:val="0"/>
          <w:sz w:val="21"/>
          <w:szCs w:val="21"/>
        </w:rPr>
        <w:t>应聘</w:t>
      </w:r>
      <w:r>
        <w:rPr>
          <w:rFonts w:hint="eastAsia" w:ascii="宋体" w:hAnsi="宋体" w:eastAsia="宋体" w:cs="宋体"/>
          <w:b w:val="0"/>
          <w:i w:val="0"/>
          <w:caps w:val="0"/>
          <w:color w:val="000000"/>
          <w:spacing w:val="0"/>
          <w:sz w:val="21"/>
          <w:szCs w:val="21"/>
          <w:lang w:eastAsia="zh-CN"/>
        </w:rPr>
        <w:t>岗位代码</w:t>
      </w:r>
      <w:r>
        <w:rPr>
          <w:rFonts w:hint="eastAsia" w:ascii="宋体" w:hAnsi="宋体" w:eastAsia="宋体" w:cs="宋体"/>
          <w:b w:val="0"/>
          <w:i w:val="0"/>
          <w:caps w:val="0"/>
          <w:color w:val="000000"/>
          <w:spacing w:val="0"/>
          <w:sz w:val="21"/>
          <w:szCs w:val="21"/>
        </w:rPr>
        <w:t>+姓名+学历+毕业学校”格式注明。</w:t>
      </w:r>
      <w:r>
        <w:rPr>
          <w:rFonts w:hint="eastAsia" w:ascii="宋体" w:hAnsi="宋体" w:eastAsia="宋体" w:cs="宋体"/>
          <w:b w:val="0"/>
          <w:i w:val="0"/>
          <w:caps w:val="0"/>
          <w:color w:val="000000"/>
          <w:spacing w:val="0"/>
          <w:sz w:val="21"/>
          <w:szCs w:val="21"/>
          <w:lang w:eastAsia="zh-CN"/>
        </w:rPr>
        <w:t>或</w:t>
      </w:r>
      <w:r>
        <w:rPr>
          <w:rFonts w:hint="eastAsia" w:ascii="宋体" w:hAnsi="宋体" w:eastAsia="宋体" w:cs="宋体"/>
          <w:b w:val="0"/>
          <w:i w:val="0"/>
          <w:caps w:val="0"/>
          <w:color w:val="000000"/>
          <w:spacing w:val="0"/>
          <w:sz w:val="21"/>
          <w:szCs w:val="21"/>
          <w:bdr w:val="none" w:color="auto" w:sz="0" w:space="0"/>
        </w:rPr>
        <w:t>登录南京财经大学人事处网站（网址</w:t>
      </w:r>
      <w:r>
        <w:rPr>
          <w:rFonts w:hint="eastAsia" w:ascii="宋体" w:hAnsi="宋体" w:eastAsia="宋体" w:cs="宋体"/>
          <w:b w:val="0"/>
          <w:i w:val="0"/>
          <w:caps w:val="0"/>
          <w:spacing w:val="0"/>
          <w:sz w:val="21"/>
          <w:szCs w:val="21"/>
          <w:bdr w:val="none" w:color="auto" w:sz="0" w:space="0"/>
        </w:rPr>
        <w:fldChar w:fldCharType="begin"/>
      </w:r>
      <w:r>
        <w:rPr>
          <w:rFonts w:hint="eastAsia" w:ascii="宋体" w:hAnsi="宋体" w:eastAsia="宋体" w:cs="宋体"/>
          <w:b w:val="0"/>
          <w:i w:val="0"/>
          <w:caps w:val="0"/>
          <w:spacing w:val="0"/>
          <w:sz w:val="21"/>
          <w:szCs w:val="21"/>
          <w:bdr w:val="none" w:color="auto" w:sz="0" w:space="0"/>
        </w:rPr>
        <w:instrText xml:space="preserve"> HYPERLINK "http://rsc.njue.edu.cn/" \t "http://zhaopin.100zp.com/html/Njcjdx/_blank" </w:instrText>
      </w:r>
      <w:r>
        <w:rPr>
          <w:rFonts w:hint="eastAsia" w:ascii="宋体" w:hAnsi="宋体" w:eastAsia="宋体" w:cs="宋体"/>
          <w:b w:val="0"/>
          <w:i w:val="0"/>
          <w:caps w:val="0"/>
          <w:spacing w:val="0"/>
          <w:sz w:val="21"/>
          <w:szCs w:val="21"/>
          <w:bdr w:val="none" w:color="auto" w:sz="0" w:space="0"/>
        </w:rPr>
        <w:fldChar w:fldCharType="separate"/>
      </w:r>
      <w:r>
        <w:rPr>
          <w:rStyle w:val="9"/>
          <w:rFonts w:hint="eastAsia" w:ascii="宋体" w:hAnsi="宋体" w:eastAsia="宋体" w:cs="宋体"/>
          <w:b w:val="0"/>
          <w:i w:val="0"/>
          <w:caps w:val="0"/>
          <w:spacing w:val="0"/>
          <w:sz w:val="21"/>
          <w:szCs w:val="21"/>
          <w:bdr w:val="none" w:color="auto" w:sz="0" w:space="0"/>
        </w:rPr>
        <w:t>http://rsc.njue.edu.cn/</w:t>
      </w:r>
      <w:r>
        <w:rPr>
          <w:rFonts w:hint="eastAsia" w:ascii="宋体" w:hAnsi="宋体" w:eastAsia="宋体" w:cs="宋体"/>
          <w:b w:val="0"/>
          <w:i w:val="0"/>
          <w:caps w:val="0"/>
          <w:spacing w:val="0"/>
          <w:sz w:val="21"/>
          <w:szCs w:val="21"/>
          <w:bdr w:val="none" w:color="auto" w:sz="0" w:space="0"/>
        </w:rPr>
        <w:fldChar w:fldCharType="end"/>
      </w:r>
      <w:r>
        <w:rPr>
          <w:rFonts w:hint="eastAsia" w:ascii="宋体" w:hAnsi="宋体" w:eastAsia="宋体" w:cs="宋体"/>
          <w:b w:val="0"/>
          <w:i w:val="0"/>
          <w:caps w:val="0"/>
          <w:color w:val="000000"/>
          <w:spacing w:val="0"/>
          <w:sz w:val="21"/>
          <w:szCs w:val="21"/>
          <w:bdr w:val="none" w:color="auto" w:sz="0" w:space="0"/>
        </w:rPr>
        <w:t>）“招聘系统”在线登记报名信息。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（二）报名注意事项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1、每位报考者限报考一个岗位，报名时须提交下列材料：</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（1）《南京财经大学公开招聘人员报名表》（见附件2）； </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2）提供专科、本科和硕士学历学位等证书、英语等级证书、计算机等级证书、身份证、专业技术职务资格证书等复印件；国内应届毕业生提供所在院校出具的省级教育行政部门统一印制的《毕业生双向选择就业推荐表》复印件；在国外取得学历学位者需提供教育部留学服务中心出具的《国外学历学位认证书》等证明材料复印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网络报名时，只需提交《南京财经大学公开招聘人员报名表》。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 2、本次公开招聘收取报名费100元。通过报名资格审查的考生，缴费和准考证领取时间详见南京财经大学招聘系统信息公告栏。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3、应聘人员提交的材料凡有弄虚作假者，一经查实，即取消考试和聘用资格。</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4、同一岗位符合条件的报名人数少于该岗位招聘人数3倍的，将相应核减招聘岗位数或取消招聘岗位，并在招聘系统信息公告栏公告。被取消招聘岗位的应聘人员可在规定的时间内改报其他符合条件的岗位。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5、应聘人员与应聘部门负责人有夫妻关系、直系血亲关系、三代以内旁系血亲关系或者近姻亲关系的，不得应聘与该部门负责人员有直接上下级领导关系的岗位。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三、考核及组织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1、考核方式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考核工作包括笔试、面试两个环节。</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1）笔试。笔试主要测试应聘者与岗位相适应的专业知识、应用能力和操作水平。笔试满分为100分，合格线为60分。笔试成绩将在学校招聘系统信息公告栏公布，应聘人员凭身份证号查询。笔试结束后，在笔试合格人员中，按各招聘岗位拟聘用人数1：3的比例范围内从高分到低分确定参加面试人选。</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（2）面试。面试按照南京财经大学自行制定的办法执行，主要测试履行岗位职责所需的专业知识、业务能力和综合素质。面试满分为100分，合格线为60分，面试成绩当场公布。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（3）总成绩。应聘人员考核总成绩按百分制计算，总成绩按如下方式折算：总成绩=笔试成绩×40%+面试成绩×60%。</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2、考核安排</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（1）考核的时间和地点在南京财经大学招聘系统信息公告栏公布，应聘人员应按规定的时间和地点参加考试，否则按弃考处理。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（2）面试之前，参加面试人员提交报名注意事项中第（1）项材料原件（照片直接贴于报名表上）、第（2）项材料原件和复印件，进行资格复审后证件原件退回，复印件留存。</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（3）所有招考工作（自报名截止之日起至公示拟聘用人选名单）一般在60个工作日内完成。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四、体检、考察及公示、聘用</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（一）考核结束后，在合格人员中，根据总成绩，按招聘岗位拟聘人数1:1的比例从高分到低分确定参加体检人员。体检标准参照《国家公务员录用体检通用标准（试行）》执行。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（二）对体检合格人员由学校组织考察，并根据体检和考察结果，确定拟聘用人员名单。因体检、考察不合格等原因出现招聘岗位空缺时，不再递补。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（三）拟聘用人员名单将在江苏人事人才公共服务网公示7个工作日。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（四）对公示无异议人员，由学校为其办理有关聘用手续，并与其签订聘用合同。聘用人员实行3个月试用期，试用期满考核合格，予以定职定级。考核不合格者，取消聘用资格，终止聘用关系。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五、招聘政策咨询及监督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南京财经大学人事处负责回答此次招聘政策咨询。</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bdr w:val="none" w:color="auto" w:sz="0" w:space="0"/>
        </w:rPr>
      </w:pPr>
      <w:r>
        <w:rPr>
          <w:rFonts w:hint="eastAsia" w:ascii="宋体" w:hAnsi="宋体" w:eastAsia="宋体" w:cs="宋体"/>
          <w:b w:val="0"/>
          <w:i w:val="0"/>
          <w:caps w:val="0"/>
          <w:color w:val="000000"/>
          <w:spacing w:val="0"/>
          <w:sz w:val="21"/>
          <w:szCs w:val="21"/>
          <w:bdr w:val="none" w:color="auto" w:sz="0" w:space="0"/>
        </w:rPr>
        <w:t>招聘政策咨询电话：025-86718678, 025-86718687</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bdr w:val="none" w:color="auto" w:sz="0" w:space="0"/>
          <w:lang w:eastAsia="zh-CN"/>
        </w:rPr>
      </w:pPr>
      <w:r>
        <w:rPr>
          <w:rFonts w:hint="eastAsia" w:ascii="宋体" w:hAnsi="宋体" w:eastAsia="宋体" w:cs="宋体"/>
          <w:b w:val="0"/>
          <w:i w:val="0"/>
          <w:caps w:val="0"/>
          <w:color w:val="000000"/>
          <w:spacing w:val="0"/>
          <w:sz w:val="21"/>
          <w:szCs w:val="21"/>
          <w:bdr w:val="none" w:color="auto" w:sz="0" w:space="0"/>
          <w:lang w:eastAsia="zh-CN"/>
        </w:rPr>
        <w:t>邮箱：</w:t>
      </w:r>
      <w:r>
        <w:rPr>
          <w:rFonts w:hint="eastAsia" w:ascii="宋体" w:hAnsi="宋体" w:eastAsia="宋体" w:cs="宋体"/>
          <w:b w:val="0"/>
          <w:i w:val="0"/>
          <w:caps w:val="0"/>
          <w:color w:val="000000"/>
          <w:spacing w:val="0"/>
          <w:sz w:val="21"/>
          <w:szCs w:val="21"/>
        </w:rPr>
        <w:t>njuerszp@126.com</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联系人：何老师，唐老师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Style w:val="7"/>
          <w:rFonts w:hint="eastAsia" w:ascii="宋体" w:hAnsi="宋体" w:eastAsia="宋体" w:cs="宋体"/>
          <w:i w:val="0"/>
          <w:caps w:val="0"/>
          <w:color w:val="000000"/>
          <w:spacing w:val="0"/>
          <w:sz w:val="21"/>
          <w:szCs w:val="21"/>
          <w:bdr w:val="none" w:color="auto" w:sz="0" w:space="0"/>
        </w:rPr>
        <w:t>六、招聘工作监督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南京财经大学纪委、监察处对此次招聘工作进行纪律监督。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纪检监督电话：025-86718703</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bdr w:val="none" w:color="auto" w:sz="0" w:space="0"/>
        </w:rPr>
        <w:t>联系人：卢老师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420"/>
        <w:rPr>
          <w:rFonts w:hint="eastAsia" w:ascii="宋体" w:hAnsi="宋体" w:eastAsia="宋体" w:cs="宋体"/>
          <w:b w:val="0"/>
          <w:i w:val="0"/>
          <w:caps w:val="0"/>
          <w:color w:val="000000"/>
          <w:spacing w:val="0"/>
          <w:sz w:val="21"/>
          <w:szCs w:val="21"/>
          <w:bdr w:val="none" w:color="auto" w:sz="0" w:space="0"/>
        </w:rPr>
      </w:pPr>
    </w:p>
    <w:p>
      <w:pPr/>
    </w:p>
    <w:bookmarkEnd w:id="0"/>
    <w:sectPr>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微软雅黑">
    <w:panose1 w:val="020B0503020204020204"/>
    <w:charset w:val="86"/>
    <w:family w:val="roman"/>
    <w:pitch w:val="default"/>
    <w:sig w:usb0="80000287" w:usb1="280F3C52" w:usb2="00000016" w:usb3="00000000" w:csb0="0004001F" w:csb1="00000000"/>
  </w:font>
  <w:font w:name="Tahoma">
    <w:panose1 w:val="020B0604030504040204"/>
    <w:charset w:val="00"/>
    <w:family w:val="roman"/>
    <w:pitch w:val="default"/>
    <w:sig w:usb0="E1002EFF" w:usb1="C000605B" w:usb2="00000029" w:usb3="00000000" w:csb0="200101FF" w:csb1="2028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微软雅黑">
    <w:panose1 w:val="020B0503020204020204"/>
    <w:charset w:val="86"/>
    <w:family w:val="modern"/>
    <w:pitch w:val="default"/>
    <w:sig w:usb0="80000287" w:usb1="280F3C52" w:usb2="00000016" w:usb3="00000000" w:csb0="0004001F" w:csb1="00000000"/>
  </w:font>
  <w:font w:name="Tahoma">
    <w:panose1 w:val="020B0604030504040204"/>
    <w:charset w:val="00"/>
    <w:family w:val="modern"/>
    <w:pitch w:val="default"/>
    <w:sig w:usb0="E1002EFF" w:usb1="C000605B" w:usb2="00000029" w:usb3="00000000" w:csb0="200101FF" w:csb1="2028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decorative"/>
    <w:pitch w:val="default"/>
    <w:sig w:usb0="80000287" w:usb1="280F3C52" w:usb2="00000016" w:usb3="00000000" w:csb0="0004001F" w:csb1="00000000"/>
  </w:font>
  <w:font w:name="Tahoma">
    <w:panose1 w:val="020B0604030504040204"/>
    <w:charset w:val="00"/>
    <w:family w:val="decorative"/>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doNotExpandShiftReturn/>
    <w:doNotBreakWrappedTables/>
    <w:doNotWrapTextWithPunct/>
    <w:doNotUseEastAsianBreakRules/>
    <w:useFELayout/>
    <w:doNotUseIndentAsNumberingTabStop/>
    <w:useAltKinsokuLineBreakRules/>
    <w:compatSetting w:name="compatibilityMode" w:uri="http://schemas.microsoft.com/office/word" w:val="12"/>
  </w:compat>
  <w:rsids>
    <w:rsidRoot w:val="00D31D50"/>
    <w:rsid w:val="00080ECD"/>
    <w:rsid w:val="00172AB6"/>
    <w:rsid w:val="002374DF"/>
    <w:rsid w:val="002B256D"/>
    <w:rsid w:val="00323B43"/>
    <w:rsid w:val="003624FD"/>
    <w:rsid w:val="003D37D8"/>
    <w:rsid w:val="00426133"/>
    <w:rsid w:val="004358AB"/>
    <w:rsid w:val="00491898"/>
    <w:rsid w:val="0064118D"/>
    <w:rsid w:val="00750051"/>
    <w:rsid w:val="008B7726"/>
    <w:rsid w:val="00B07A5A"/>
    <w:rsid w:val="00B27DFC"/>
    <w:rsid w:val="00CA2114"/>
    <w:rsid w:val="00D31D50"/>
    <w:rsid w:val="00DF6ECE"/>
    <w:rsid w:val="00FC5156"/>
    <w:rsid w:val="02233590"/>
    <w:rsid w:val="04FA0B3A"/>
    <w:rsid w:val="0CED4443"/>
    <w:rsid w:val="0DBE4B1B"/>
    <w:rsid w:val="130D494D"/>
    <w:rsid w:val="1ADE00A1"/>
    <w:rsid w:val="1B672584"/>
    <w:rsid w:val="1BB33CDD"/>
    <w:rsid w:val="23651C9F"/>
    <w:rsid w:val="23B50B24"/>
    <w:rsid w:val="48655C56"/>
    <w:rsid w:val="49AE366E"/>
    <w:rsid w:val="52D576F4"/>
    <w:rsid w:val="544F49E2"/>
    <w:rsid w:val="57821021"/>
    <w:rsid w:val="59163636"/>
    <w:rsid w:val="5ACC5286"/>
    <w:rsid w:val="5D3024F2"/>
    <w:rsid w:val="5DDF358F"/>
    <w:rsid w:val="5EAD4EE1"/>
    <w:rsid w:val="5EC6388D"/>
    <w:rsid w:val="62385432"/>
    <w:rsid w:val="651313E3"/>
    <w:rsid w:val="6A333F49"/>
    <w:rsid w:val="6C7E4B4E"/>
    <w:rsid w:val="6CEE3336"/>
    <w:rsid w:val="78B16511"/>
    <w:rsid w:val="7E477DBC"/>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unhideWhenUsed/>
    <w:qFormat/>
    <w:uiPriority w:val="99"/>
    <w:pPr>
      <w:spacing w:after="0"/>
    </w:pPr>
    <w:rPr>
      <w:sz w:val="18"/>
      <w:szCs w:val="18"/>
    </w:rPr>
  </w:style>
  <w:style w:type="paragraph" w:styleId="3">
    <w:name w:val="footer"/>
    <w:basedOn w:val="1"/>
    <w:link w:val="12"/>
    <w:unhideWhenUsed/>
    <w:qFormat/>
    <w:uiPriority w:val="99"/>
    <w:pPr>
      <w:tabs>
        <w:tab w:val="center" w:pos="4153"/>
        <w:tab w:val="right" w:pos="8306"/>
      </w:tabs>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jc w:val="center"/>
    </w:pPr>
    <w:rPr>
      <w:sz w:val="18"/>
      <w:szCs w:val="18"/>
    </w:rPr>
  </w:style>
  <w:style w:type="paragraph" w:styleId="5">
    <w:name w:val="Normal (Web)"/>
    <w:basedOn w:val="1"/>
    <w:unhideWhenUsed/>
    <w:qFormat/>
    <w:uiPriority w:val="99"/>
    <w:pPr>
      <w:adjustRightInd/>
      <w:snapToGrid/>
      <w:spacing w:before="100" w:beforeAutospacing="1" w:after="100" w:afterAutospacing="1"/>
    </w:pPr>
    <w:rPr>
      <w:rFonts w:ascii="宋体" w:hAnsi="宋体" w:eastAsia="宋体" w:cs="宋体"/>
      <w:sz w:val="24"/>
      <w:szCs w:val="24"/>
    </w:rPr>
  </w:style>
  <w:style w:type="character" w:styleId="7">
    <w:name w:val="Strong"/>
    <w:basedOn w:val="6"/>
    <w:qFormat/>
    <w:uiPriority w:val="22"/>
    <w:rPr>
      <w:b/>
    </w:rPr>
  </w:style>
  <w:style w:type="character" w:styleId="8">
    <w:name w:val="FollowedHyperlink"/>
    <w:basedOn w:val="6"/>
    <w:unhideWhenUsed/>
    <w:qFormat/>
    <w:uiPriority w:val="99"/>
    <w:rPr>
      <w:color w:val="800080" w:themeColor="followedHyperlink"/>
      <w:u w:val="single"/>
    </w:rPr>
  </w:style>
  <w:style w:type="character" w:styleId="9">
    <w:name w:val="Hyperlink"/>
    <w:basedOn w:val="6"/>
    <w:unhideWhenUsed/>
    <w:qFormat/>
    <w:uiPriority w:val="99"/>
    <w:rPr>
      <w:color w:val="0000FF" w:themeColor="hyperlink"/>
      <w:u w:val="single"/>
    </w:rPr>
  </w:style>
  <w:style w:type="character" w:customStyle="1" w:styleId="11">
    <w:name w:val="页眉 Char"/>
    <w:basedOn w:val="6"/>
    <w:link w:val="4"/>
    <w:semiHidden/>
    <w:qFormat/>
    <w:uiPriority w:val="99"/>
    <w:rPr>
      <w:rFonts w:ascii="Tahoma" w:hAnsi="Tahoma"/>
      <w:sz w:val="18"/>
      <w:szCs w:val="18"/>
    </w:rPr>
  </w:style>
  <w:style w:type="character" w:customStyle="1" w:styleId="12">
    <w:name w:val="页脚 Char"/>
    <w:basedOn w:val="6"/>
    <w:link w:val="3"/>
    <w:semiHidden/>
    <w:qFormat/>
    <w:uiPriority w:val="99"/>
    <w:rPr>
      <w:rFonts w:ascii="Tahoma" w:hAnsi="Tahoma"/>
      <w:sz w:val="18"/>
      <w:szCs w:val="18"/>
    </w:rPr>
  </w:style>
  <w:style w:type="character" w:customStyle="1" w:styleId="13">
    <w:name w:val="批注框文本 Char"/>
    <w:basedOn w:val="6"/>
    <w:link w:val="2"/>
    <w:semiHidden/>
    <w:qFormat/>
    <w:uiPriority w:val="99"/>
    <w:rPr>
      <w:rFonts w:ascii="Tahoma" w:hAnsi="Tahoma"/>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504</Words>
  <Characters>2879</Characters>
  <Lines>23</Lines>
  <Paragraphs>6</Paragraphs>
  <ScaleCrop>false</ScaleCrop>
  <LinksUpToDate>false</LinksUpToDate>
  <CharactersWithSpaces>3377</CharactersWithSpaces>
  <Application>WPS Office_10.1.0.5457_F1E327BC-269C-435d-A152-05C5408002CA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2016-05-25T07:32:13Z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2052-10.1.0.5457</vt:lpwstr>
  </property>
</Properties>
</file>