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80" w:lineRule="auto"/>
        <w:jc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广州南洋理工职业学院2016年招聘公告</w:t>
      </w:r>
    </w:p>
    <w:p>
      <w:pPr>
        <w:pStyle w:val="2"/>
        <w:keepNext w:val="0"/>
        <w:keepLines w:val="0"/>
        <w:widowControl/>
        <w:suppressLineNumbers w:val="0"/>
        <w:spacing w:line="480" w:lineRule="auto"/>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t>广州南洋理工职业学院始创于1984年，是经广东省人民政府批准成立（批准文号：粤府函[2004]87号）、教育部备案的省属民办普通高等学校。近年来，学院以提高质量为核心，走产学研结合发展的道路，着力打造“技能培养特色鲜明，就业竞争力优势突出”的办学特色，毕业生就业率一直保持在98%以上，办学水平得到国家高等职业教育专家、省教育厅及社会各界的高度肯定。</w:t>
      </w:r>
      <w:r>
        <w:rPr>
          <w:rFonts w:hint="eastAsia" w:ascii="宋体" w:hAnsi="宋体" w:eastAsia="宋体" w:cs="宋体"/>
          <w:color w:val="000000"/>
          <w:sz w:val="18"/>
          <w:szCs w:val="18"/>
          <w:u w:val="none"/>
        </w:rPr>
        <w:br w:type="textWrapping"/>
      </w:r>
      <w:r>
        <w:rPr>
          <w:rFonts w:hint="eastAsia" w:ascii="宋体" w:hAnsi="宋体" w:eastAsia="宋体" w:cs="宋体"/>
          <w:color w:val="000000"/>
          <w:sz w:val="18"/>
          <w:szCs w:val="18"/>
          <w:u w:val="none"/>
        </w:rPr>
        <w:br w:type="textWrapping"/>
      </w:r>
      <w:r>
        <w:rPr>
          <w:rFonts w:hint="eastAsia" w:ascii="宋体" w:hAnsi="宋体" w:eastAsia="宋体" w:cs="宋体"/>
          <w:color w:val="000000"/>
          <w:sz w:val="18"/>
          <w:szCs w:val="18"/>
          <w:u w:val="none"/>
        </w:rPr>
        <w:t>学院坐落在有“广州后花园”之称的广州市从化区，规划占地500多亩，规划建筑面积28万平方米，总投资8亿元，现已建成308亩，建筑面积约17万平方米，完成投资约6亿元。学院拥有先进的专业实验室（场）104个，多媒体教室156间，图书馆藏书65万多册，文体活动场所一流，并配有全新的空调学生公寓和生活设施。学院现有在校生12600多人，其中全日制专科在校生10600多人，业余本科在读生2000多人；教职工700余人，其中专任教师近500人，设有电子信息、管理、财经、机电、汽车、外语、建工、艺术、服装、基础部、思政部11个系部，招生专业36个。学院聘请名校客座教授，师资力量雄厚，教学管理规范化，综合实力强。2015年，学院学生在省教育厅举办的职业技能大赛中荣获一等奖数量位居全省民办高职院校第二名。</w:t>
      </w:r>
      <w:r>
        <w:rPr>
          <w:rFonts w:hint="eastAsia" w:ascii="宋体" w:hAnsi="宋体" w:eastAsia="宋体" w:cs="宋体"/>
          <w:color w:val="000000"/>
          <w:sz w:val="18"/>
          <w:szCs w:val="18"/>
          <w:u w:val="none"/>
        </w:rPr>
        <w:br w:type="textWrapping"/>
      </w:r>
      <w:r>
        <w:rPr>
          <w:rFonts w:hint="eastAsia" w:ascii="宋体" w:hAnsi="宋体" w:eastAsia="宋体" w:cs="宋体"/>
          <w:color w:val="000000"/>
          <w:sz w:val="18"/>
          <w:szCs w:val="18"/>
          <w:u w:val="none"/>
        </w:rPr>
        <w:br w:type="textWrapping"/>
      </w:r>
      <w:r>
        <w:rPr>
          <w:rFonts w:hint="eastAsia" w:ascii="宋体" w:hAnsi="宋体" w:eastAsia="宋体" w:cs="宋体"/>
          <w:color w:val="000000"/>
          <w:sz w:val="18"/>
          <w:szCs w:val="18"/>
          <w:u w:val="none"/>
        </w:rPr>
        <w:t>学院坚持以培养应用型人才、提高学生就业竞争力为基本目标，改革培养模式，强化实践教学环节，推行“双证书”制度，探索建立“校中厂”、“厂中校”等形式的教学基地，实行“订单式培养”，并在长江精工钢结构（集团）股份有限公司、深圳神舟电脑、广州润都集团等一百多家企业建立了学生实习基地，89%以上的学生获得双证书，培养出一批批高素质的毕业生，深受用人单位的欢迎。</w:t>
      </w:r>
      <w:r>
        <w:rPr>
          <w:rFonts w:hint="eastAsia" w:ascii="宋体" w:hAnsi="宋体" w:eastAsia="宋体" w:cs="宋体"/>
          <w:color w:val="000000"/>
          <w:sz w:val="18"/>
          <w:szCs w:val="18"/>
          <w:u w:val="none"/>
        </w:rPr>
        <w:br w:type="textWrapping"/>
      </w:r>
      <w:r>
        <w:rPr>
          <w:rFonts w:hint="eastAsia" w:ascii="宋体" w:hAnsi="宋体" w:eastAsia="宋体" w:cs="宋体"/>
          <w:color w:val="000000"/>
          <w:sz w:val="18"/>
          <w:szCs w:val="18"/>
          <w:u w:val="none"/>
        </w:rPr>
        <w:br w:type="textWrapping"/>
      </w:r>
      <w:r>
        <w:rPr>
          <w:rFonts w:hint="eastAsia" w:ascii="宋体" w:hAnsi="宋体" w:eastAsia="宋体" w:cs="宋体"/>
          <w:color w:val="000000"/>
          <w:sz w:val="18"/>
          <w:szCs w:val="18"/>
          <w:u w:val="none"/>
        </w:rPr>
        <w:t xml:space="preserve">2010年学院获“广东省民办教育突出贡献奖”和“广东最具就业竞争力民办学院”的殊荣。2011年、2012年，学院以优秀的成绩通过省教育厅人才培养工作评估和回访工作。2012年学院获“广东最具社会认可度学院”称号。2014年，学院被从化市人民政府授予“从化市2012-2013年度科技工作先进单位”称号，被省教育厅评为“广东省就业工作督查优秀等级”，还获“大粤网﹒最具竞争力提升院校”称号；学生军政教导队作为广东高校唯一一支代表队参加全国首届学生军事训练营获团体总分第二名，教育部国防教育办公室、全军学生军训工作办公室授予学院“优秀组织单位”。南洋科学技术协会2014年、2015年两年蝉联“广州市基层科普工作先进单位”、广州市企事业科协先进单位”称号。学院2015年被国家民政部授予“全国民办非企业单位优秀服务品牌”称号，成为全国27家优秀职业教育类民办非企业单位之一；还荣获“广东省国防教育先进工作单位”称号。2011年9月，时任全国人大常委会副委员长周铁农来我院视察，充分肯定学院“办学很实，办得很好”。2015年12月，第十一届全国政协副主席、民革中央原常务副主席、著名经济学家厉无畏来我院视察，高度评价学院办学成果。 </w:t>
      </w:r>
    </w:p>
    <w:tbl>
      <w:tblPr>
        <w:tblStyle w:val="7"/>
        <w:tblpPr w:leftFromText="180" w:rightFromText="180" w:vertAnchor="text" w:horzAnchor="page" w:tblpX="1109" w:tblpY="-60"/>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1095"/>
        <w:gridCol w:w="1485"/>
        <w:gridCol w:w="1470"/>
        <w:gridCol w:w="1440"/>
        <w:gridCol w:w="3060"/>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trPr>
        <w:tc>
          <w:tcPr>
            <w:tcW w:w="9945" w:type="dxa"/>
            <w:gridSpan w:val="7"/>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32"/>
                <w:szCs w:val="32"/>
                <w:u w:val="none"/>
              </w:rPr>
            </w:pPr>
            <w:bookmarkStart w:id="0" w:name="_GoBack"/>
            <w:r>
              <w:rPr>
                <w:rFonts w:hint="eastAsia" w:ascii="宋体" w:hAnsi="宋体" w:eastAsia="宋体" w:cs="宋体"/>
                <w:b/>
                <w:i w:val="0"/>
                <w:color w:val="000000"/>
                <w:kern w:val="0"/>
                <w:sz w:val="32"/>
                <w:szCs w:val="32"/>
                <w:u w:val="none"/>
                <w:lang w:val="en-US" w:eastAsia="zh-CN" w:bidi="ar"/>
              </w:rPr>
              <w:t>广州南洋理工职业学院招聘公告</w:t>
            </w:r>
            <w:bookmarkEnd w:id="0"/>
            <w:r>
              <w:rPr>
                <w:rFonts w:hint="eastAsia" w:ascii="宋体" w:hAnsi="宋体" w:eastAsia="宋体" w:cs="宋体"/>
                <w:b/>
                <w:i w:val="0"/>
                <w:color w:val="000000"/>
                <w:kern w:val="0"/>
                <w:sz w:val="32"/>
                <w:szCs w:val="32"/>
                <w:u w:val="none"/>
                <w:lang w:val="en-US" w:eastAsia="zh-CN" w:bidi="ar"/>
              </w:rPr>
              <w:t>(2016年</w:t>
            </w:r>
            <w:r>
              <w:rPr>
                <w:rStyle w:val="8"/>
                <w:lang w:val="en-US" w:eastAsia="zh-CN" w:bidi="ar"/>
              </w:rPr>
              <w:t>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9945"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一、学院简介及招聘岗位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5" w:hRule="atLeast"/>
        </w:trPr>
        <w:tc>
          <w:tcPr>
            <w:tcW w:w="9945"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广州南洋理工职业学院始创于1984年，是经广东省人民政府批准成立（批准文号：粤府函[2004]87号）、教育部备案、广东省教育厅主管的一所民办全日制普通高等职业院校。学院位于“温泉之都”的广州市从化区，五十分钟车程可抵达广州市中心，直达广州火车站14号地铁将在明年开通。学院设有机电工程系、汽车工程系、电子信息工程系、管理系、财经系、外语系、建筑工程系、艺术设计系、服装系，基础部及思想政治理论课教学部；共36个招生专业（方向），在校学生一万多人。为了满足学院发展需要，现面向社会诚聘以下各个专业教学人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岗位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专业要求</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学历要求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汽车系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汽车相关    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本科以上    （应届）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工作责任心强，能吃苦耐劳，有一定的沟通能力和组织能力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财经系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会计      (会计电算化)    专业教师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中级职称   及以上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研究生    (高级职称学历可为本科)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有高校教学经验或企业财务工作经验（应届硕士研究生也可考虑）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移动通信技术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研究生</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工作责任心强，能吃苦耐劳，有一定的沟通能力和组织能力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外语系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英语教师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商务英语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研究生</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根据专业能力可方宽至本科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外籍英语   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英语言文学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本科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美国、英国等英语言国家籍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艺术系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室内艺术设计教师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室内设计、艺术设计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本科及以上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要求熟练掌握3D、CAD等室内设计软件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广告设计   与制作教师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广告设计、艺术类</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本科及以上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要求熟练影视剪辑相关软件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服装设计    </w:t>
            </w:r>
            <w:r>
              <w:rPr>
                <w:rStyle w:val="9"/>
                <w:lang w:val="en-US" w:eastAsia="zh-CN" w:bidi="ar"/>
              </w:rPr>
              <w:t>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服装设计类 </w:t>
            </w:r>
            <w:r>
              <w:rPr>
                <w:rStyle w:val="9"/>
                <w:lang w:val="en-US" w:eastAsia="zh-CN" w:bidi="ar"/>
              </w:rPr>
              <w:t xml:space="preserve"> 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有一定的企业经验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服装结构 </w:t>
            </w:r>
            <w:r>
              <w:rPr>
                <w:rStyle w:val="9"/>
                <w:lang w:val="en-US" w:eastAsia="zh-CN" w:bidi="ar"/>
              </w:rPr>
              <w:t xml:space="preserve">  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服装结构教师可根据企业经验适当放宽学历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电信系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软件技术    </w:t>
            </w:r>
            <w:r>
              <w:rPr>
                <w:rStyle w:val="9"/>
                <w:lang w:val="en-US" w:eastAsia="zh-CN" w:bidi="ar"/>
              </w:rPr>
              <w:t>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软件及相关 </w:t>
            </w:r>
            <w:r>
              <w:rPr>
                <w:rStyle w:val="9"/>
                <w:lang w:val="en-US" w:eastAsia="zh-CN" w:bidi="ar"/>
              </w:rPr>
              <w:t xml:space="preserve"> 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本科及以上、初级以上 （含初级）</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具有本专业的专业课程的实操技能，有企业工作经验者优先试用，能胜任多门专业课程的教学，如：JAVA、JSP、Android、.NET、Linux</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网络技术    </w:t>
            </w:r>
            <w:r>
              <w:rPr>
                <w:rStyle w:val="9"/>
                <w:lang w:val="en-US" w:eastAsia="zh-CN" w:bidi="ar"/>
              </w:rPr>
              <w:t>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网络工程 </w:t>
            </w:r>
            <w:r>
              <w:rPr>
                <w:rStyle w:val="9"/>
                <w:lang w:val="en-US" w:eastAsia="zh-CN" w:bidi="ar"/>
              </w:rPr>
              <w:t xml:space="preserve">  及相关专业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本科及以上、初级以上 </w:t>
            </w:r>
            <w:r>
              <w:rPr>
                <w:rStyle w:val="9"/>
                <w:lang w:val="en-US" w:eastAsia="zh-CN" w:bidi="ar"/>
              </w:rPr>
              <w:t xml:space="preserve"> （含初级）</w:t>
            </w:r>
          </w:p>
        </w:tc>
        <w:tc>
          <w:tcPr>
            <w:tcW w:w="30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能胜任多门专业课程的教学，如：路由与交换、综合布线、</w:t>
            </w:r>
            <w:r>
              <w:rPr>
                <w:rStyle w:val="10"/>
                <w:rFonts w:eastAsia="宋体"/>
                <w:lang w:val="en-US" w:eastAsia="zh-CN" w:bidi="ar"/>
              </w:rPr>
              <w:t>Linux</w:t>
            </w:r>
            <w:r>
              <w:rPr>
                <w:rStyle w:val="9"/>
                <w:lang w:val="en-US" w:eastAsia="zh-CN" w:bidi="ar"/>
              </w:rPr>
              <w:t>操作系统、网络安全与防护、企业服务器搭建与维护等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建筑工程系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实训室     管理员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土木工程、  环境艺术类</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大专以上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有建筑工程方面的理论和相关实训器材的使用经验；爱岗敬业、稳重、任劳任怨、文字功底要好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系主任助理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建筑类</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硕士或中级职称以上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爱岗敬业、组织协调能力强、具有一定的教学经验、文字功底要好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土木工程、工程造价、建筑设计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硕士或中级职称以上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有高校经验优先，爱岗敬业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60" w:type="dxa"/>
            <w:vMerge w:val="restart"/>
            <w:tcBorders>
              <w:top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w:t>
            </w:r>
          </w:p>
        </w:tc>
        <w:tc>
          <w:tcPr>
            <w:tcW w:w="1095" w:type="dxa"/>
            <w:vMerge w:val="restar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基建指挥部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水电工程师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建筑设备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大专以上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35岁-45岁，中级职称，身体健康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60" w:type="dxa"/>
            <w:vMerge w:val="continue"/>
            <w:tcBorders>
              <w:top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土木结构、  建筑、设备、造价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大专以上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30岁-45岁，有执业资格，身体健康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60" w:type="dxa"/>
            <w:vMerge w:val="continue"/>
            <w:tcBorders>
              <w:top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现场工程师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土木结构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大专以上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35岁-45岁、熟悉建筑规范及CAD表达，有中级职称优先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660" w:type="dxa"/>
            <w:vMerge w:val="continue"/>
            <w:tcBorders>
              <w:top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计算机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大专以上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25岁-35岁、熟悉国土法规，有前期项目办证经验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招生办</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招生干事</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不限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本科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男、国粤语流利、office熟练、有高校招生工作经验者优先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教务处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专职督导员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教育教学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本科以上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10年以上教学管理经验，副高或以上职称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督导秘书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教育教学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本科以上</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1年以上教学管理经验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60" w:type="dxa"/>
            <w:shd w:val="clear" w:color="auto" w:fill="auto"/>
            <w:vAlign w:val="center"/>
          </w:tcPr>
          <w:p>
            <w:pPr>
              <w:rPr>
                <w:rFonts w:hint="eastAsia" w:ascii="宋体" w:hAnsi="宋体" w:eastAsia="宋体" w:cs="宋体"/>
                <w:i w:val="0"/>
                <w:color w:val="000000"/>
                <w:sz w:val="24"/>
                <w:szCs w:val="24"/>
                <w:u w:val="none"/>
              </w:rPr>
            </w:pPr>
          </w:p>
        </w:tc>
        <w:tc>
          <w:tcPr>
            <w:tcW w:w="1095" w:type="dxa"/>
            <w:shd w:val="clear" w:color="auto" w:fill="auto"/>
            <w:vAlign w:val="center"/>
          </w:tcPr>
          <w:p>
            <w:pPr>
              <w:rPr>
                <w:rFonts w:hint="eastAsia" w:ascii="宋体" w:hAnsi="宋体" w:eastAsia="宋体" w:cs="宋体"/>
                <w:i w:val="0"/>
                <w:color w:val="000000"/>
                <w:sz w:val="24"/>
                <w:szCs w:val="24"/>
                <w:u w:val="none"/>
              </w:rPr>
            </w:pPr>
          </w:p>
        </w:tc>
        <w:tc>
          <w:tcPr>
            <w:tcW w:w="1485" w:type="dxa"/>
            <w:shd w:val="clear" w:color="auto" w:fill="auto"/>
            <w:vAlign w:val="center"/>
          </w:tcPr>
          <w:p>
            <w:pPr>
              <w:rPr>
                <w:rFonts w:hint="eastAsia" w:ascii="宋体" w:hAnsi="宋体" w:eastAsia="宋体" w:cs="宋体"/>
                <w:i w:val="0"/>
                <w:color w:val="000000"/>
                <w:sz w:val="24"/>
                <w:szCs w:val="24"/>
                <w:u w:val="none"/>
              </w:rPr>
            </w:pPr>
          </w:p>
        </w:tc>
        <w:tc>
          <w:tcPr>
            <w:tcW w:w="1470" w:type="dxa"/>
            <w:shd w:val="clear" w:color="auto" w:fill="auto"/>
            <w:vAlign w:val="center"/>
          </w:tcPr>
          <w:p>
            <w:pPr>
              <w:rPr>
                <w:rFonts w:hint="eastAsia" w:ascii="宋体" w:hAnsi="宋体" w:eastAsia="宋体" w:cs="宋体"/>
                <w:i w:val="0"/>
                <w:color w:val="000000"/>
                <w:sz w:val="24"/>
                <w:szCs w:val="24"/>
                <w:u w:val="none"/>
              </w:rPr>
            </w:pPr>
          </w:p>
        </w:tc>
        <w:tc>
          <w:tcPr>
            <w:tcW w:w="1440" w:type="dxa"/>
            <w:shd w:val="clear" w:color="auto" w:fill="auto"/>
            <w:vAlign w:val="center"/>
          </w:tcPr>
          <w:p>
            <w:pPr>
              <w:rPr>
                <w:rFonts w:hint="eastAsia" w:ascii="宋体" w:hAnsi="宋体" w:eastAsia="宋体" w:cs="宋体"/>
                <w:i w:val="0"/>
                <w:color w:val="000000"/>
                <w:sz w:val="24"/>
                <w:szCs w:val="24"/>
                <w:u w:val="none"/>
              </w:rPr>
            </w:pPr>
          </w:p>
        </w:tc>
        <w:tc>
          <w:tcPr>
            <w:tcW w:w="30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共计</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9945"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二、基本待遇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1、全职员工统一购买五险一金；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2、每月享受学院生活福利、交通等补贴；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3、工勤人员法定节假日享受加班补贴。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660" w:type="dxa"/>
            <w:shd w:val="clear" w:color="auto" w:fill="auto"/>
            <w:vAlign w:val="center"/>
          </w:tcPr>
          <w:p>
            <w:pPr>
              <w:jc w:val="left"/>
              <w:rPr>
                <w:rFonts w:hint="eastAsia" w:ascii="宋体" w:hAnsi="宋体" w:eastAsia="宋体" w:cs="宋体"/>
                <w:i w:val="0"/>
                <w:color w:val="000000"/>
                <w:sz w:val="24"/>
                <w:szCs w:val="24"/>
                <w:u w:val="none"/>
              </w:rPr>
            </w:pPr>
          </w:p>
        </w:tc>
        <w:tc>
          <w:tcPr>
            <w:tcW w:w="1095" w:type="dxa"/>
            <w:shd w:val="clear" w:color="auto" w:fill="auto"/>
            <w:vAlign w:val="center"/>
          </w:tcPr>
          <w:p>
            <w:pPr>
              <w:jc w:val="left"/>
              <w:rPr>
                <w:rFonts w:hint="eastAsia" w:ascii="宋体" w:hAnsi="宋体" w:eastAsia="宋体" w:cs="宋体"/>
                <w:i w:val="0"/>
                <w:color w:val="000000"/>
                <w:sz w:val="24"/>
                <w:szCs w:val="24"/>
                <w:u w:val="none"/>
              </w:rPr>
            </w:pPr>
          </w:p>
        </w:tc>
        <w:tc>
          <w:tcPr>
            <w:tcW w:w="1485" w:type="dxa"/>
            <w:shd w:val="clear" w:color="auto" w:fill="auto"/>
            <w:vAlign w:val="center"/>
          </w:tcPr>
          <w:p>
            <w:pPr>
              <w:jc w:val="left"/>
              <w:rPr>
                <w:rFonts w:hint="eastAsia" w:ascii="宋体" w:hAnsi="宋体" w:eastAsia="宋体" w:cs="宋体"/>
                <w:i w:val="0"/>
                <w:color w:val="000000"/>
                <w:sz w:val="24"/>
                <w:szCs w:val="24"/>
                <w:u w:val="none"/>
              </w:rPr>
            </w:pPr>
          </w:p>
        </w:tc>
        <w:tc>
          <w:tcPr>
            <w:tcW w:w="1470" w:type="dxa"/>
            <w:shd w:val="clear" w:color="auto" w:fill="auto"/>
            <w:vAlign w:val="center"/>
          </w:tcPr>
          <w:p>
            <w:pPr>
              <w:jc w:val="left"/>
              <w:rPr>
                <w:rFonts w:hint="eastAsia" w:ascii="宋体" w:hAnsi="宋体" w:eastAsia="宋体" w:cs="宋体"/>
                <w:i w:val="0"/>
                <w:color w:val="000000"/>
                <w:sz w:val="24"/>
                <w:szCs w:val="24"/>
                <w:u w:val="none"/>
              </w:rPr>
            </w:pPr>
          </w:p>
        </w:tc>
        <w:tc>
          <w:tcPr>
            <w:tcW w:w="1440" w:type="dxa"/>
            <w:shd w:val="clear" w:color="auto" w:fill="auto"/>
            <w:vAlign w:val="center"/>
          </w:tcPr>
          <w:p>
            <w:pPr>
              <w:jc w:val="left"/>
              <w:rPr>
                <w:rFonts w:hint="eastAsia" w:ascii="宋体" w:hAnsi="宋体" w:eastAsia="宋体" w:cs="宋体"/>
                <w:i w:val="0"/>
                <w:color w:val="000000"/>
                <w:sz w:val="24"/>
                <w:szCs w:val="24"/>
                <w:u w:val="none"/>
              </w:rPr>
            </w:pPr>
          </w:p>
        </w:tc>
        <w:tc>
          <w:tcPr>
            <w:tcW w:w="3060" w:type="dxa"/>
            <w:shd w:val="clear" w:color="auto" w:fill="auto"/>
            <w:vAlign w:val="center"/>
          </w:tcPr>
          <w:p>
            <w:pPr>
              <w:jc w:val="left"/>
              <w:rPr>
                <w:rFonts w:hint="eastAsia" w:ascii="宋体" w:hAnsi="宋体" w:eastAsia="宋体" w:cs="宋体"/>
                <w:i w:val="0"/>
                <w:color w:val="000000"/>
                <w:sz w:val="24"/>
                <w:szCs w:val="24"/>
                <w:u w:val="none"/>
              </w:rPr>
            </w:pP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9945"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三、联系方式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1"/>
                <w:lang w:val="en-US" w:eastAsia="zh-CN" w:bidi="ar"/>
              </w:rPr>
              <w:t xml:space="preserve">   联系人及联系电话： 刘老师 020-37987263/18011988052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1"/>
                <w:lang w:val="en-US" w:eastAsia="zh-CN" w:bidi="ar"/>
              </w:rPr>
              <w:t xml:space="preserve">   联系邮箱：1272636688@qq.com 抄送 </w:t>
            </w:r>
            <w:r>
              <w:rPr>
                <w:rStyle w:val="11"/>
                <w:rFonts w:hint="eastAsia"/>
                <w:lang w:val="en-US" w:eastAsia="zh-CN" w:bidi="ar"/>
              </w:rPr>
              <w:fldChar w:fldCharType="begin"/>
            </w:r>
            <w:r>
              <w:rPr>
                <w:rStyle w:val="11"/>
                <w:rFonts w:hint="eastAsia"/>
                <w:lang w:val="en-US" w:eastAsia="zh-CN" w:bidi="ar"/>
              </w:rPr>
              <w:instrText xml:space="preserve"> HYPERLINK "mailto:nylgxyzp@126.com" </w:instrText>
            </w:r>
            <w:r>
              <w:rPr>
                <w:rStyle w:val="11"/>
                <w:rFonts w:hint="eastAsia"/>
                <w:lang w:val="en-US" w:eastAsia="zh-CN" w:bidi="ar"/>
              </w:rPr>
              <w:fldChar w:fldCharType="separate"/>
            </w:r>
            <w:r>
              <w:rPr>
                <w:rStyle w:val="6"/>
                <w:rFonts w:hint="eastAsia" w:ascii="宋体" w:hAnsi="宋体" w:eastAsia="宋体" w:cs="宋体"/>
                <w:i w:val="0"/>
                <w:sz w:val="24"/>
                <w:szCs w:val="24"/>
                <w:lang w:val="en-US" w:eastAsia="zh-CN" w:bidi="ar"/>
              </w:rPr>
              <w:t>nylgxyzp@126.com</w:t>
            </w:r>
            <w:r>
              <w:rPr>
                <w:rStyle w:val="11"/>
                <w:rFonts w:hint="eastAsia"/>
                <w:lang w:val="en-US" w:eastAsia="zh-CN" w:bidi="ar"/>
              </w:rPr>
              <w:fldChar w:fldCharType="end"/>
            </w:r>
            <w:r>
              <w:rPr>
                <w:rStyle w:val="11"/>
                <w:rFonts w:hint="eastAsia"/>
                <w:lang w:val="en-US" w:eastAsia="zh-CN" w:bidi="ar"/>
              </w:rPr>
              <w:t xml:space="preserve">  （</w:t>
            </w:r>
            <w:r>
              <w:rPr>
                <w:rStyle w:val="11"/>
                <w:lang w:val="en-US" w:eastAsia="zh-CN" w:bidi="ar"/>
              </w:rPr>
              <w:t>邮件文件名为“高校师资网+姓名+应聘岗位+电话”</w:t>
            </w:r>
            <w:r>
              <w:rPr>
                <w:rStyle w:val="11"/>
                <w:rFonts w:hint="eastAsia"/>
                <w:lang w:val="en-US" w:eastAsia="zh-CN" w:bidi="ar"/>
              </w:rPr>
              <w:t>）</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1"/>
                <w:lang w:val="en-US" w:eastAsia="zh-CN" w:bidi="ar"/>
              </w:rPr>
              <w:t xml:space="preserve">* 资料提交要求：个人简历要体现个人完整的教育学习与工作经历，附带主要业绩成果及个人证书原件的扫描件。邮件文件名为“高校师资网+姓名+应聘岗位+电话”。应聘人员按约定时间携带有关反映个人信息的原件及复印件来校参加面试，教师岗位应聘人员须参加试讲。所有应聘资料复印件恕不退回。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报名截止日期：2017年1月15日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1"/>
                <w:lang w:val="en-US" w:eastAsia="zh-CN" w:bidi="ar"/>
              </w:rPr>
              <w:t xml:space="preserve">   学院网址：www.nyjy.cn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1"/>
                <w:lang w:val="en-US" w:eastAsia="zh-CN" w:bidi="ar"/>
              </w:rPr>
              <w:t xml:space="preserve">   学院地址：广州市从化环市东路1123号广州南洋理工职业学院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1"/>
                <w:lang w:val="en-US" w:eastAsia="zh-CN" w:bidi="ar"/>
              </w:rPr>
              <w:t xml:space="preserve">   交通方式：1、广州各大汽车站搭乘前往从化汽车总站的大巴；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9210"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11"/>
                <w:lang w:val="en-US" w:eastAsia="zh-CN" w:bidi="ar"/>
              </w:rPr>
              <w:t xml:space="preserve">     2、从化汽车总站搭乘4路公交车，在南洋学院站下车。 </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210" w:type="dxa"/>
            <w:gridSpan w:val="6"/>
            <w:shd w:val="clear" w:color="auto" w:fill="auto"/>
            <w:vAlign w:val="center"/>
          </w:tcPr>
          <w:p>
            <w:pPr>
              <w:jc w:val="left"/>
              <w:rPr>
                <w:rFonts w:hint="eastAsia" w:ascii="宋体" w:hAnsi="宋体" w:eastAsia="宋体" w:cs="宋体"/>
                <w:i w:val="0"/>
                <w:color w:val="000000"/>
                <w:sz w:val="24"/>
                <w:szCs w:val="24"/>
                <w:u w:val="none"/>
              </w:rPr>
            </w:pP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210" w:type="dxa"/>
            <w:gridSpan w:val="6"/>
            <w:shd w:val="clear" w:color="auto" w:fill="auto"/>
            <w:vAlign w:val="center"/>
          </w:tcPr>
          <w:p>
            <w:pPr>
              <w:jc w:val="left"/>
              <w:rPr>
                <w:rFonts w:hint="eastAsia" w:ascii="宋体" w:hAnsi="宋体" w:eastAsia="宋体" w:cs="宋体"/>
                <w:i w:val="0"/>
                <w:color w:val="000000"/>
                <w:sz w:val="24"/>
                <w:szCs w:val="24"/>
                <w:u w:val="none"/>
              </w:rPr>
            </w:pP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60" w:type="dxa"/>
            <w:shd w:val="clear" w:color="auto" w:fill="auto"/>
            <w:vAlign w:val="center"/>
          </w:tcPr>
          <w:p>
            <w:pPr>
              <w:rPr>
                <w:rFonts w:hint="eastAsia" w:ascii="宋体" w:hAnsi="宋体" w:eastAsia="宋体" w:cs="宋体"/>
                <w:i w:val="0"/>
                <w:color w:val="000000"/>
                <w:sz w:val="24"/>
                <w:szCs w:val="24"/>
                <w:u w:val="none"/>
              </w:rPr>
            </w:pPr>
          </w:p>
        </w:tc>
        <w:tc>
          <w:tcPr>
            <w:tcW w:w="1095" w:type="dxa"/>
            <w:shd w:val="clear" w:color="auto" w:fill="auto"/>
            <w:vAlign w:val="center"/>
          </w:tcPr>
          <w:p>
            <w:pPr>
              <w:rPr>
                <w:rFonts w:hint="eastAsia" w:ascii="宋体" w:hAnsi="宋体" w:eastAsia="宋体" w:cs="宋体"/>
                <w:i w:val="0"/>
                <w:color w:val="000000"/>
                <w:sz w:val="24"/>
                <w:szCs w:val="24"/>
                <w:u w:val="none"/>
              </w:rPr>
            </w:pPr>
          </w:p>
        </w:tc>
        <w:tc>
          <w:tcPr>
            <w:tcW w:w="1485" w:type="dxa"/>
            <w:shd w:val="clear" w:color="auto" w:fill="auto"/>
            <w:vAlign w:val="center"/>
          </w:tcPr>
          <w:p>
            <w:pPr>
              <w:rPr>
                <w:rFonts w:hint="eastAsia" w:ascii="宋体" w:hAnsi="宋体" w:eastAsia="宋体" w:cs="宋体"/>
                <w:i w:val="0"/>
                <w:color w:val="000000"/>
                <w:sz w:val="24"/>
                <w:szCs w:val="24"/>
                <w:u w:val="none"/>
              </w:rPr>
            </w:pPr>
          </w:p>
        </w:tc>
        <w:tc>
          <w:tcPr>
            <w:tcW w:w="1470" w:type="dxa"/>
            <w:shd w:val="clear" w:color="auto" w:fill="auto"/>
            <w:vAlign w:val="center"/>
          </w:tcPr>
          <w:p>
            <w:pPr>
              <w:rPr>
                <w:rFonts w:hint="eastAsia" w:ascii="宋体" w:hAnsi="宋体" w:eastAsia="宋体" w:cs="宋体"/>
                <w:i w:val="0"/>
                <w:color w:val="000000"/>
                <w:sz w:val="24"/>
                <w:szCs w:val="24"/>
                <w:u w:val="none"/>
              </w:rPr>
            </w:pPr>
          </w:p>
        </w:tc>
        <w:tc>
          <w:tcPr>
            <w:tcW w:w="1440" w:type="dxa"/>
            <w:shd w:val="clear" w:color="auto" w:fill="auto"/>
            <w:vAlign w:val="center"/>
          </w:tcPr>
          <w:p>
            <w:pPr>
              <w:rPr>
                <w:rFonts w:hint="eastAsia" w:ascii="宋体" w:hAnsi="宋体" w:eastAsia="宋体" w:cs="宋体"/>
                <w:i w:val="0"/>
                <w:color w:val="000000"/>
                <w:sz w:val="24"/>
                <w:szCs w:val="24"/>
                <w:u w:val="none"/>
              </w:rPr>
            </w:pPr>
          </w:p>
        </w:tc>
        <w:tc>
          <w:tcPr>
            <w:tcW w:w="3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广州南洋理工职业学院         人事处</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shd w:val="clear" w:color="auto" w:fill="auto"/>
            <w:vAlign w:val="center"/>
          </w:tcPr>
          <w:p>
            <w:pPr>
              <w:rPr>
                <w:rFonts w:hint="eastAsia" w:ascii="宋体" w:hAnsi="宋体" w:eastAsia="宋体" w:cs="宋体"/>
                <w:i w:val="0"/>
                <w:color w:val="000000"/>
                <w:sz w:val="24"/>
                <w:szCs w:val="24"/>
                <w:u w:val="none"/>
              </w:rPr>
            </w:pPr>
          </w:p>
        </w:tc>
        <w:tc>
          <w:tcPr>
            <w:tcW w:w="1095" w:type="dxa"/>
            <w:shd w:val="clear" w:color="auto" w:fill="auto"/>
            <w:vAlign w:val="center"/>
          </w:tcPr>
          <w:p>
            <w:pPr>
              <w:rPr>
                <w:rFonts w:hint="eastAsia" w:ascii="宋体" w:hAnsi="宋体" w:eastAsia="宋体" w:cs="宋体"/>
                <w:i w:val="0"/>
                <w:color w:val="000000"/>
                <w:sz w:val="24"/>
                <w:szCs w:val="24"/>
                <w:u w:val="none"/>
              </w:rPr>
            </w:pPr>
          </w:p>
        </w:tc>
        <w:tc>
          <w:tcPr>
            <w:tcW w:w="1485" w:type="dxa"/>
            <w:shd w:val="clear" w:color="auto" w:fill="auto"/>
            <w:vAlign w:val="center"/>
          </w:tcPr>
          <w:p>
            <w:pPr>
              <w:rPr>
                <w:rFonts w:hint="eastAsia" w:ascii="宋体" w:hAnsi="宋体" w:eastAsia="宋体" w:cs="宋体"/>
                <w:i w:val="0"/>
                <w:color w:val="000000"/>
                <w:sz w:val="24"/>
                <w:szCs w:val="24"/>
                <w:u w:val="none"/>
              </w:rPr>
            </w:pPr>
          </w:p>
        </w:tc>
        <w:tc>
          <w:tcPr>
            <w:tcW w:w="1470" w:type="dxa"/>
            <w:shd w:val="clear" w:color="auto" w:fill="auto"/>
            <w:vAlign w:val="center"/>
          </w:tcPr>
          <w:p>
            <w:pPr>
              <w:rPr>
                <w:rFonts w:hint="eastAsia" w:ascii="宋体" w:hAnsi="宋体" w:eastAsia="宋体" w:cs="宋体"/>
                <w:i w:val="0"/>
                <w:color w:val="000000"/>
                <w:sz w:val="24"/>
                <w:szCs w:val="24"/>
                <w:u w:val="none"/>
              </w:rPr>
            </w:pPr>
          </w:p>
        </w:tc>
        <w:tc>
          <w:tcPr>
            <w:tcW w:w="1440" w:type="dxa"/>
            <w:shd w:val="clear" w:color="auto" w:fill="auto"/>
            <w:vAlign w:val="center"/>
          </w:tcPr>
          <w:p>
            <w:pPr>
              <w:rPr>
                <w:rFonts w:hint="eastAsia" w:ascii="宋体" w:hAnsi="宋体" w:eastAsia="宋体" w:cs="宋体"/>
                <w:i w:val="0"/>
                <w:color w:val="000000"/>
                <w:sz w:val="24"/>
                <w:szCs w:val="24"/>
                <w:u w:val="none"/>
              </w:rPr>
            </w:pPr>
          </w:p>
        </w:tc>
        <w:tc>
          <w:tcPr>
            <w:tcW w:w="30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2016年11月20日</w:t>
            </w:r>
          </w:p>
        </w:tc>
        <w:tc>
          <w:tcPr>
            <w:tcW w:w="735" w:type="dxa"/>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60" w:type="dxa"/>
            <w:shd w:val="clear" w:color="auto" w:fill="auto"/>
            <w:vAlign w:val="center"/>
          </w:tcPr>
          <w:p>
            <w:pPr>
              <w:rPr>
                <w:rFonts w:hint="eastAsia" w:ascii="宋体" w:hAnsi="宋体" w:eastAsia="宋体" w:cs="宋体"/>
                <w:i w:val="0"/>
                <w:color w:val="000000"/>
                <w:sz w:val="24"/>
                <w:szCs w:val="24"/>
                <w:u w:val="none"/>
              </w:rPr>
            </w:pPr>
          </w:p>
        </w:tc>
        <w:tc>
          <w:tcPr>
            <w:tcW w:w="1095" w:type="dxa"/>
            <w:shd w:val="clear" w:color="auto" w:fill="auto"/>
            <w:vAlign w:val="center"/>
          </w:tcPr>
          <w:p>
            <w:pPr>
              <w:rPr>
                <w:rFonts w:hint="eastAsia" w:ascii="宋体" w:hAnsi="宋体" w:eastAsia="宋体" w:cs="宋体"/>
                <w:i w:val="0"/>
                <w:color w:val="000000"/>
                <w:sz w:val="24"/>
                <w:szCs w:val="24"/>
                <w:u w:val="none"/>
              </w:rPr>
            </w:pPr>
          </w:p>
        </w:tc>
        <w:tc>
          <w:tcPr>
            <w:tcW w:w="1485" w:type="dxa"/>
            <w:shd w:val="clear" w:color="auto" w:fill="auto"/>
            <w:vAlign w:val="center"/>
          </w:tcPr>
          <w:p>
            <w:pPr>
              <w:rPr>
                <w:rFonts w:hint="eastAsia" w:ascii="宋体" w:hAnsi="宋体" w:eastAsia="宋体" w:cs="宋体"/>
                <w:i w:val="0"/>
                <w:color w:val="000000"/>
                <w:sz w:val="24"/>
                <w:szCs w:val="24"/>
                <w:u w:val="none"/>
              </w:rPr>
            </w:pPr>
          </w:p>
        </w:tc>
        <w:tc>
          <w:tcPr>
            <w:tcW w:w="1470" w:type="dxa"/>
            <w:shd w:val="clear" w:color="auto" w:fill="auto"/>
            <w:vAlign w:val="center"/>
          </w:tcPr>
          <w:p>
            <w:pPr>
              <w:rPr>
                <w:rFonts w:hint="eastAsia" w:ascii="宋体" w:hAnsi="宋体" w:eastAsia="宋体" w:cs="宋体"/>
                <w:i w:val="0"/>
                <w:color w:val="000000"/>
                <w:sz w:val="24"/>
                <w:szCs w:val="24"/>
                <w:u w:val="none"/>
              </w:rPr>
            </w:pPr>
          </w:p>
        </w:tc>
        <w:tc>
          <w:tcPr>
            <w:tcW w:w="1440" w:type="dxa"/>
            <w:shd w:val="clear" w:color="auto" w:fill="auto"/>
            <w:vAlign w:val="center"/>
          </w:tcPr>
          <w:p>
            <w:pPr>
              <w:rPr>
                <w:rFonts w:hint="eastAsia" w:ascii="宋体" w:hAnsi="宋体" w:eastAsia="宋体" w:cs="宋体"/>
                <w:i w:val="0"/>
                <w:color w:val="000000"/>
                <w:sz w:val="24"/>
                <w:szCs w:val="24"/>
                <w:u w:val="none"/>
              </w:rPr>
            </w:pPr>
          </w:p>
        </w:tc>
        <w:tc>
          <w:tcPr>
            <w:tcW w:w="3060" w:type="dxa"/>
            <w:shd w:val="clear" w:color="auto" w:fill="auto"/>
            <w:vAlign w:val="center"/>
          </w:tcPr>
          <w:p>
            <w:pPr>
              <w:rPr>
                <w:rFonts w:hint="eastAsia" w:ascii="宋体" w:hAnsi="宋体" w:eastAsia="宋体" w:cs="宋体"/>
                <w:i w:val="0"/>
                <w:color w:val="000000"/>
                <w:sz w:val="24"/>
                <w:szCs w:val="24"/>
                <w:u w:val="none"/>
              </w:rPr>
            </w:pPr>
          </w:p>
        </w:tc>
        <w:tc>
          <w:tcPr>
            <w:tcW w:w="735" w:type="dxa"/>
            <w:shd w:val="clear" w:color="auto" w:fill="auto"/>
            <w:vAlign w:val="center"/>
          </w:tcPr>
          <w:p>
            <w:pPr>
              <w:rPr>
                <w:rFonts w:hint="eastAsia" w:ascii="宋体" w:hAnsi="宋体" w:eastAsia="宋体" w:cs="宋体"/>
                <w:i w:val="0"/>
                <w:color w:val="000000"/>
                <w:sz w:val="24"/>
                <w:szCs w:val="24"/>
                <w:u w:val="none"/>
              </w:rPr>
            </w:pPr>
          </w:p>
        </w:tc>
      </w:tr>
    </w:tbl>
    <w:p>
      <w:pPr>
        <w:pStyle w:val="2"/>
        <w:keepNext w:val="0"/>
        <w:keepLines w:val="0"/>
        <w:widowControl/>
        <w:suppressLineNumbers w:val="0"/>
        <w:spacing w:line="480" w:lineRule="auto"/>
        <w:jc w:val="center"/>
        <w:rPr>
          <w:rFonts w:hint="eastAsia" w:ascii="宋体" w:hAnsi="宋体" w:eastAsia="宋体" w:cs="宋体"/>
          <w:color w:val="000000"/>
          <w:sz w:val="18"/>
          <w:szCs w:val="18"/>
          <w:u w:val="none"/>
        </w:rPr>
      </w:pPr>
    </w:p>
    <w:p>
      <w:pPr>
        <w:pStyle w:val="2"/>
        <w:keepNext w:val="0"/>
        <w:keepLines w:val="0"/>
        <w:widowControl/>
        <w:suppressLineNumbers w:val="0"/>
        <w:spacing w:line="480" w:lineRule="auto"/>
        <w:jc w:val="left"/>
        <w:rPr>
          <w:rFonts w:hint="eastAsia" w:ascii="宋体" w:hAnsi="宋体" w:eastAsia="宋体" w:cs="宋体"/>
          <w:color w:val="000000"/>
          <w:sz w:val="18"/>
          <w:szCs w:val="18"/>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E146D"/>
    <w:rsid w:val="308B7A0B"/>
    <w:rsid w:val="3B7F4BE8"/>
    <w:rsid w:val="3D9A7390"/>
    <w:rsid w:val="577E3A01"/>
    <w:rsid w:val="5E4829D7"/>
    <w:rsid w:val="6E524E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qFormat/>
    <w:uiPriority w:val="0"/>
    <w:rPr>
      <w:color w:val="000000"/>
      <w:u w:val="none"/>
    </w:rPr>
  </w:style>
  <w:style w:type="character" w:customStyle="1" w:styleId="8">
    <w:name w:val="font11"/>
    <w:basedOn w:val="3"/>
    <w:qFormat/>
    <w:uiPriority w:val="0"/>
    <w:rPr>
      <w:rFonts w:hint="eastAsia" w:ascii="宋体" w:hAnsi="宋体" w:eastAsia="宋体" w:cs="宋体"/>
      <w:b/>
      <w:color w:val="000000"/>
      <w:sz w:val="32"/>
      <w:szCs w:val="32"/>
      <w:u w:val="none"/>
    </w:rPr>
  </w:style>
  <w:style w:type="character" w:customStyle="1" w:styleId="9">
    <w:name w:val="font31"/>
    <w:basedOn w:val="3"/>
    <w:qFormat/>
    <w:uiPriority w:val="0"/>
    <w:rPr>
      <w:rFonts w:hint="eastAsia" w:ascii="宋体" w:hAnsi="宋体" w:eastAsia="宋体" w:cs="宋体"/>
      <w:color w:val="000000"/>
      <w:sz w:val="22"/>
      <w:szCs w:val="22"/>
      <w:u w:val="none"/>
    </w:rPr>
  </w:style>
  <w:style w:type="character" w:customStyle="1" w:styleId="10">
    <w:name w:val="font01"/>
    <w:basedOn w:val="3"/>
    <w:qFormat/>
    <w:uiPriority w:val="0"/>
    <w:rPr>
      <w:rFonts w:hint="default" w:ascii="Times New Roman" w:hAnsi="Times New Roman" w:cs="Times New Roman"/>
      <w:color w:val="000000"/>
      <w:sz w:val="22"/>
      <w:szCs w:val="22"/>
      <w:u w:val="none"/>
    </w:rPr>
  </w:style>
  <w:style w:type="character" w:customStyle="1" w:styleId="11">
    <w:name w:val="font7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qch</dc:creator>
  <cp:lastModifiedBy>bingbing</cp:lastModifiedBy>
  <dcterms:modified xsi:type="dcterms:W3CDTF">2016-11-30T07:49:42Z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