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hd w:val="clear" w:fill="FFFFFF"/>
        <w:spacing w:line="240" w:lineRule="auto"/>
        <w:ind w:left="0" w:firstLine="0"/>
        <w:jc w:val="center"/>
        <w:rPr>
          <w:rFonts w:ascii="微软雅黑" w:hAnsi="微软雅黑" w:eastAsia="微软雅黑" w:cs="微软雅黑"/>
          <w:i w:val="0"/>
          <w:caps w:val="0"/>
          <w:color w:val="000000"/>
          <w:spacing w:val="0"/>
          <w:sz w:val="30"/>
          <w:szCs w:val="30"/>
        </w:rPr>
      </w:pPr>
      <w:bookmarkStart w:id="0" w:name="_GoBack"/>
      <w:r>
        <w:rPr>
          <w:rFonts w:hint="eastAsia" w:ascii="微软雅黑" w:hAnsi="微软雅黑" w:eastAsia="微软雅黑" w:cs="微软雅黑"/>
          <w:i w:val="0"/>
          <w:caps w:val="0"/>
          <w:color w:val="000000"/>
          <w:spacing w:val="0"/>
          <w:sz w:val="30"/>
          <w:szCs w:val="30"/>
          <w:shd w:val="clear" w:fill="FFFFFF"/>
        </w:rPr>
        <w:t>四川理工学院2017年诚聘海内外高层次人才</w:t>
      </w:r>
    </w:p>
    <w:p>
      <w:pPr>
        <w:rPr>
          <w:rFonts w:hint="eastAsia" w:ascii="宋体" w:hAnsi="宋体" w:eastAsia="宋体" w:cs="宋体"/>
          <w:b w:val="0"/>
          <w:bCs/>
          <w:sz w:val="21"/>
          <w:szCs w:val="21"/>
        </w:rPr>
      </w:pPr>
    </w:p>
    <w:p>
      <w:pPr>
        <w:numPr>
          <w:ilvl w:val="0"/>
          <w:numId w:val="1"/>
        </w:numPr>
        <w:rPr>
          <w:rFonts w:hint="eastAsia" w:ascii="宋体" w:hAnsi="宋体" w:eastAsia="宋体" w:cs="宋体"/>
          <w:b/>
          <w:bCs w:val="0"/>
          <w:sz w:val="24"/>
          <w:szCs w:val="24"/>
        </w:rPr>
      </w:pPr>
      <w:r>
        <w:rPr>
          <w:rFonts w:hint="eastAsia" w:ascii="宋体" w:hAnsi="宋体" w:eastAsia="宋体" w:cs="宋体"/>
          <w:b/>
          <w:bCs w:val="0"/>
          <w:sz w:val="24"/>
          <w:szCs w:val="24"/>
        </w:rPr>
        <w:t>学校简介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rFonts w:hint="eastAsia" w:ascii="宋体" w:hAnsi="宋体" w:eastAsia="宋体" w:cs="宋体"/>
          <w:b w:val="0"/>
          <w:bCs/>
          <w:sz w:val="21"/>
          <w:szCs w:val="21"/>
        </w:rPr>
      </w:pPr>
      <w:r>
        <w:rPr>
          <w:rFonts w:hint="eastAsia" w:ascii="宋体" w:hAnsi="宋体" w:eastAsia="宋体" w:cs="宋体"/>
          <w:b w:val="0"/>
          <w:bCs/>
          <w:sz w:val="21"/>
          <w:szCs w:val="21"/>
        </w:rPr>
        <w:t xml:space="preserve">四川理工学院座落于享有“恐龙之乡、千年盐都、南国灯城”美誉的国家历史文化名城——四川省自贡市，是国家“中西部高校基础能力建设工程”重点建设高校，是四川省人民政府授予的“四川省高新技术产业示范科研单位”。学校前身是1965年建立的华东化工学院（现华东理工大学）西南分院。1979年经教育部批准，在原华东化工学院西南分院的基础上组建四川化工学院，1983年更名为四川轻化工学院。2003年4月16日经教育部批准，由原四川轻化工学院、自贡师范高等专科学校、自贡高等专科学校和自贡教育学院合并组建为“四川理工学院”。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rFonts w:hint="eastAsia" w:ascii="宋体" w:hAnsi="宋体" w:eastAsia="宋体" w:cs="宋体"/>
          <w:b w:val="0"/>
          <w:bCs/>
          <w:i w:val="0"/>
          <w:caps w:val="0"/>
          <w:color w:val="333333"/>
          <w:spacing w:val="0"/>
          <w:sz w:val="21"/>
          <w:szCs w:val="21"/>
        </w:rPr>
      </w:pPr>
      <w:r>
        <w:rPr>
          <w:rFonts w:hint="eastAsia" w:ascii="宋体" w:hAnsi="宋体" w:eastAsia="宋体" w:cs="宋体"/>
          <w:b w:val="0"/>
          <w:bCs/>
          <w:sz w:val="21"/>
          <w:szCs w:val="21"/>
        </w:rPr>
        <w:t xml:space="preserve">学校占地面积2000余亩，有汇东、营盘、黄岭三个校区，国有资产总值近11亿元，其中各类教学科研仪器设备总值近3亿元。图书馆藏书丰富，馆藏纸质文献达到250多万册，电子图书400余万种，电子期刊2万多种。学校设施齐全，校园环境优美，大气优雅，是学生奠基人生梦想、教师实现学术抱负的理想之地。  </w:t>
      </w:r>
      <w:r>
        <w:rPr>
          <w:rFonts w:hint="eastAsia" w:ascii="宋体" w:hAnsi="宋体" w:eastAsia="宋体" w:cs="宋体"/>
          <w:b w:val="0"/>
          <w:bCs/>
          <w:i w:val="0"/>
          <w:caps w:val="0"/>
          <w:color w:val="333333"/>
          <w:spacing w:val="0"/>
          <w:sz w:val="21"/>
          <w:szCs w:val="21"/>
        </w:rPr>
        <w:t> </w:t>
      </w:r>
    </w:p>
    <w:p>
      <w:pPr>
        <w:pStyle w:val="6"/>
        <w:keepNext w:val="0"/>
        <w:keepLines w:val="0"/>
        <w:widowControl/>
        <w:suppressLineNumbers w:val="0"/>
        <w:spacing w:before="210" w:beforeAutospacing="0" w:after="210" w:afterAutospacing="0" w:line="375" w:lineRule="atLeast"/>
        <w:ind w:left="210" w:right="210" w:firstLine="450"/>
        <w:rPr>
          <w:rFonts w:hint="eastAsia" w:ascii="宋体" w:hAnsi="宋体" w:eastAsia="宋体" w:cs="宋体"/>
          <w:b/>
          <w:bCs w:val="0"/>
          <w:i w:val="0"/>
          <w:caps w:val="0"/>
          <w:color w:val="333333"/>
          <w:spacing w:val="0"/>
          <w:sz w:val="21"/>
          <w:szCs w:val="21"/>
          <w:lang w:val="en-US" w:eastAsia="zh-CN"/>
        </w:rPr>
      </w:pPr>
      <w:r>
        <w:rPr>
          <w:rFonts w:hint="eastAsia" w:ascii="宋体" w:hAnsi="宋体" w:eastAsia="宋体" w:cs="宋体"/>
          <w:b w:val="0"/>
          <w:bCs/>
          <w:i w:val="0"/>
          <w:caps w:val="0"/>
          <w:color w:val="333333"/>
          <w:spacing w:val="0"/>
          <w:sz w:val="21"/>
          <w:szCs w:val="21"/>
          <w:lang w:eastAsia="zh-CN"/>
        </w:rPr>
        <w:t>简介扩展：</w:t>
      </w:r>
      <w:r>
        <w:rPr>
          <w:rFonts w:hint="eastAsia" w:ascii="宋体" w:hAnsi="宋体" w:eastAsia="宋体" w:cs="宋体"/>
          <w:b w:val="0"/>
          <w:bCs/>
          <w:i w:val="0"/>
          <w:caps w:val="0"/>
          <w:color w:val="333333"/>
          <w:spacing w:val="0"/>
          <w:sz w:val="21"/>
          <w:szCs w:val="21"/>
          <w:u w:val="none"/>
          <w:lang w:eastAsia="zh-CN"/>
        </w:rPr>
        <w:fldChar w:fldCharType="begin"/>
      </w:r>
      <w:r>
        <w:rPr>
          <w:rFonts w:hint="eastAsia" w:ascii="宋体" w:hAnsi="宋体" w:eastAsia="宋体" w:cs="宋体"/>
          <w:b w:val="0"/>
          <w:bCs/>
          <w:i w:val="0"/>
          <w:caps w:val="0"/>
          <w:color w:val="333333"/>
          <w:spacing w:val="0"/>
          <w:sz w:val="21"/>
          <w:szCs w:val="21"/>
          <w:u w:val="none"/>
          <w:lang w:eastAsia="zh-CN"/>
        </w:rPr>
        <w:instrText xml:space="preserve"> HYPERLINK "http://zhaopin.100zp.com/html/sclgxy/" </w:instrText>
      </w:r>
      <w:r>
        <w:rPr>
          <w:rFonts w:hint="eastAsia" w:ascii="宋体" w:hAnsi="宋体" w:eastAsia="宋体" w:cs="宋体"/>
          <w:b w:val="0"/>
          <w:bCs/>
          <w:i w:val="0"/>
          <w:caps w:val="0"/>
          <w:color w:val="333333"/>
          <w:spacing w:val="0"/>
          <w:sz w:val="21"/>
          <w:szCs w:val="21"/>
          <w:u w:val="none"/>
          <w:lang w:eastAsia="zh-CN"/>
        </w:rPr>
        <w:fldChar w:fldCharType="separate"/>
      </w:r>
      <w:r>
        <w:rPr>
          <w:rStyle w:val="10"/>
          <w:rFonts w:hint="eastAsia" w:ascii="宋体" w:hAnsi="宋体" w:eastAsia="宋体" w:cs="宋体"/>
          <w:b w:val="0"/>
          <w:bCs/>
          <w:i w:val="0"/>
          <w:caps w:val="0"/>
          <w:color w:val="333333"/>
          <w:spacing w:val="0"/>
          <w:sz w:val="21"/>
          <w:szCs w:val="21"/>
          <w:u w:val="none"/>
          <w:lang w:eastAsia="zh-CN"/>
        </w:rPr>
        <w:t>http://zhaopin.100zp.com/html/sclgxy/</w:t>
      </w:r>
      <w:r>
        <w:rPr>
          <w:rFonts w:hint="eastAsia" w:ascii="宋体" w:hAnsi="宋体" w:eastAsia="宋体" w:cs="宋体"/>
          <w:b w:val="0"/>
          <w:bCs/>
          <w:i w:val="0"/>
          <w:caps w:val="0"/>
          <w:color w:val="333333"/>
          <w:spacing w:val="0"/>
          <w:sz w:val="21"/>
          <w:szCs w:val="21"/>
          <w:u w:val="none"/>
          <w:lang w:eastAsia="zh-CN"/>
        </w:rPr>
        <w:fldChar w:fldCharType="end"/>
      </w:r>
      <w:r>
        <w:rPr>
          <w:rFonts w:hint="eastAsia" w:ascii="宋体" w:hAnsi="宋体" w:eastAsia="宋体" w:cs="宋体"/>
          <w:b w:val="0"/>
          <w:bCs/>
          <w:i w:val="0"/>
          <w:caps w:val="0"/>
          <w:color w:val="333333"/>
          <w:spacing w:val="0"/>
          <w:sz w:val="21"/>
          <w:szCs w:val="21"/>
          <w:u w:val="none"/>
          <w:lang w:val="en-US" w:eastAsia="zh-CN"/>
        </w:rPr>
        <w:t xml:space="preserve">  </w:t>
      </w:r>
      <w:r>
        <w:rPr>
          <w:rFonts w:hint="eastAsia" w:ascii="宋体" w:hAnsi="宋体" w:eastAsia="宋体" w:cs="宋体"/>
          <w:b w:val="0"/>
          <w:bCs/>
          <w:i w:val="0"/>
          <w:caps w:val="0"/>
          <w:color w:val="333333"/>
          <w:spacing w:val="0"/>
          <w:sz w:val="21"/>
          <w:szCs w:val="21"/>
          <w:u w:val="none"/>
          <w:lang w:val="en-US" w:eastAsia="zh-CN"/>
        </w:rPr>
        <w:br w:type="textWrapping"/>
      </w:r>
      <w:r>
        <w:rPr>
          <w:rFonts w:hint="eastAsia" w:ascii="宋体" w:hAnsi="宋体" w:eastAsia="宋体" w:cs="宋体"/>
          <w:b w:val="0"/>
          <w:bCs/>
          <w:i w:val="0"/>
          <w:caps w:val="0"/>
          <w:color w:val="333333"/>
          <w:spacing w:val="0"/>
          <w:sz w:val="21"/>
          <w:szCs w:val="21"/>
          <w:u w:val="none"/>
          <w:lang w:val="en-US" w:eastAsia="zh-CN"/>
        </w:rPr>
        <w:br w:type="textWrapping"/>
      </w:r>
      <w:r>
        <w:rPr>
          <w:rFonts w:hint="eastAsia" w:ascii="宋体" w:hAnsi="宋体" w:eastAsia="宋体" w:cs="宋体"/>
          <w:b/>
          <w:bCs w:val="0"/>
          <w:i w:val="0"/>
          <w:caps w:val="0"/>
          <w:color w:val="333333"/>
          <w:spacing w:val="0"/>
          <w:sz w:val="24"/>
          <w:szCs w:val="24"/>
          <w:lang w:val="en-US" w:eastAsia="zh-CN"/>
        </w:rPr>
        <w:t>二、2017年人才引进计划</w:t>
      </w:r>
    </w:p>
    <w:tbl>
      <w:tblPr>
        <w:tblStyle w:val="11"/>
        <w:tblW w:w="8152" w:type="dxa"/>
        <w:jc w:val="center"/>
        <w:tblCellSpacing w:w="7" w:type="dxa"/>
        <w:tblInd w:w="107"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9BC9F3"/>
        <w:tblLayout w:type="fixed"/>
        <w:tblCellMar>
          <w:top w:w="15" w:type="dxa"/>
          <w:left w:w="15" w:type="dxa"/>
          <w:bottom w:w="15" w:type="dxa"/>
          <w:right w:w="15" w:type="dxa"/>
        </w:tblCellMar>
      </w:tblPr>
      <w:tblGrid>
        <w:gridCol w:w="1157"/>
        <w:gridCol w:w="1757"/>
        <w:gridCol w:w="1206"/>
        <w:gridCol w:w="588"/>
        <w:gridCol w:w="662"/>
        <w:gridCol w:w="2782"/>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674" w:hRule="atLeast"/>
          <w:tblHeader/>
          <w:tblCellSpacing w:w="7" w:type="dxa"/>
          <w:jc w:val="center"/>
        </w:trPr>
        <w:tc>
          <w:tcPr>
            <w:tcW w:w="1136"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学院</w:t>
            </w:r>
          </w:p>
        </w:tc>
        <w:tc>
          <w:tcPr>
            <w:tcW w:w="1743"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专 业</w:t>
            </w:r>
          </w:p>
        </w:tc>
        <w:tc>
          <w:tcPr>
            <w:tcW w:w="1192"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学历、学位、职称</w:t>
            </w:r>
          </w:p>
        </w:tc>
        <w:tc>
          <w:tcPr>
            <w:tcW w:w="574"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人数</w:t>
            </w:r>
          </w:p>
        </w:tc>
        <w:tc>
          <w:tcPr>
            <w:tcW w:w="648"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岗位</w:t>
            </w:r>
          </w:p>
        </w:tc>
        <w:tc>
          <w:tcPr>
            <w:tcW w:w="2761"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备注</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2033"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材料科学与 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材料科学与工程（腐蚀与防护方向）、无机非金属材料、高分子材料</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5</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院长：陈建</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办公室：0813-5505699</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机：13309006598 email:jchenzg@aliyun.com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材料科学与工程 （腐蚀与防护方向）</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化学工程学院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精细化工及化学品</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院长：杨虎</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办公室：0813-5505698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手机：18708381871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email：yanghu67@163.com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化学工程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生物制药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能源化工</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博士或高级工程师</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制药工程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机械工程学院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机械工程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5</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院长：胡光忠</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办公室：0813-5506768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机：13990004352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email：hgzdhx@163.com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车辆工程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机械电子工程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材料加工工程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力学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过程装备与控制</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测控技术与仪器</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计算机学院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计算机科学与技术、软件工程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5</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院长：彭龑</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办公室：0813-5505885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手机：13309006680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email：pengyan@suse.edu.cn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网络工程、电子商务、物联网工程、计算机应用</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5</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计算机科学与技术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数学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江河流域院士专家工作站</w:t>
            </w: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检测技术与自动化装置</w:t>
            </w:r>
          </w:p>
        </w:tc>
        <w:tc>
          <w:tcPr>
            <w:tcW w:w="1192"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sz w:val="18"/>
                <w:szCs w:val="18"/>
              </w:rPr>
              <w:t>模式识别与智能系统</w:t>
            </w:r>
          </w:p>
        </w:tc>
        <w:tc>
          <w:tcPr>
            <w:tcW w:w="1192"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摄影测量与遥感</w:t>
            </w:r>
          </w:p>
        </w:tc>
        <w:tc>
          <w:tcPr>
            <w:tcW w:w="1192"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地图制图学与地理信息工程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生物工程学院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发酵工程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院长：罗惠波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办公室：0813-5505872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机：13508178186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email：sgxlhb@suse.edu.cn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生物工程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食品科学与工程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4</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轻工技术与工程（制浆造纸、天然纤维）</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生物技术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食品质量与安全</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自动化与信息工程学院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控制科学与工程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6</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院长：熊兴中</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办公室：0813-5505870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手机：15328385899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email：xzxiong@suse.edu.cn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722"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通信与信息系统、信号与信息处理、电路与系统、电磁场与电磁波</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6</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电气工程及相近专业（本科应为电气工程）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电气工程、控制科学与工程、信息与通信工程、生物医学工程、电子科学与技术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4</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2656" w:hRule="atLeast"/>
          <w:tblCellSpacing w:w="7" w:type="dxa"/>
          <w:jc w:val="center"/>
        </w:trPr>
        <w:tc>
          <w:tcPr>
            <w:tcW w:w="113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人工智能四川省重点实验室</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电气工程、控制科学与工程、信息与通信工程、生物医学工程、电子科学与技术、计算机科学与技术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10</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土木工程学院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市政工程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博士或正高</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院长：吴佳晔</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办公室：0813-5505757</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手机：13990089059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email：25452093@qq.com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岩土工程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博士或正高</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结构工程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博士或正高</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管理科学与工程（项目管理方向，本科为土建类专业）</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博士或正高</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化学与环境 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有机化学（有机催化或合成）</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院长：蒋维东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办公室：0813-5505601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手机：13778579418</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email：jwdxb@163.com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无机化学（配位化学方向）</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仪器分析（仪器分析方向）</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环境工程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安全工程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环境工程、安全工程、仪器分析</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数学与统计 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应用数学 </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院长：黎克麟</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办公室：0813-5505627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手机：13990058554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email：Likelin_63@126.com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基础数学 </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统计学或应用统计学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运筹学与控制论 </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计算数学 </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物理与电子工程学院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电子科学与技术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书记：周志坚</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手机：13064391027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email：zhjzhouzhijian@sina.com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电子信息工程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电路与系统</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模式识别与智能系统</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光电子技术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物理类（研究方向与光电子技术或半导体技术相关）</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3</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管理学院</w:t>
            </w: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管理科学与工程</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5</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院长：陈一君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办公室：0813-2113006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手机：13890077987</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email：41106621@qq.com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工商管理</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会计学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人力资源管理</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 </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企业管理</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市场营销</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计算机技术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经济学院</w:t>
            </w: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旅游管理/酒店管理</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院长：何凡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办公室：0813-5505286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手机：13890088228 email:zghf789@163.com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计量经济学/金融学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农业经济管理</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经济学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法学院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行政管理</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院长：杨汉国</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办公室：0813-2113008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手机：13890088225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email：yhg88225@163.com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法学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马克思主义 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中国近现代史</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书记：支果 办公室：0813-5505868 手  机：13890088225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email：zzz0133@sina.com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马克思主义理论</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外语学院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英语</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院长：云虹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办公室：0813-5505669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机：13990004161 email：710816603@qq.com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日语</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西班牙语</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4</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人文学院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心理学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院长：代晓东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办公室：0813-5550619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机：13990096127</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email：Xiaodong_dai@163.com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学前教育</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新闻传播学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比较文学与世界文学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语言学及应用语言学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中国现当代文学（文学创作）</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博士或副高以上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基础心理学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网络新媒体技术</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播音主持艺术学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高等教育 研究所</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高等教育学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教育学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中国盐文化 研究中心</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历史</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音乐学院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音乐学</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院长：石敦岗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办公室：0813-2117939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机：13990093969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email：398591762@qq.com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声乐（民族、美声）</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声乐（通俗）</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钢琴</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舞蹈（古典舞或现代舞）</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器乐（竹笛、长笛、大提琴）</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器乐（二胡）</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美术学院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中国画（人物）</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院长：罗小兵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办公室：0813-2107908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机：13778568198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email：308635331@qq.com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油画</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服装设计</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视觉新媒体设计</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美术学（理论）</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博士或教授</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体育学院</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体育教育训练学（体育舞蹈方向）</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restart"/>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院长：梁诚</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办公室：0813-5506786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手  机：13990003859 </w:t>
            </w:r>
            <w:r>
              <w:rPr>
                <w:rFonts w:hint="eastAsia" w:ascii="宋体" w:hAnsi="宋体" w:eastAsia="宋体" w:cs="宋体"/>
                <w:b w:val="0"/>
                <w:bCs/>
                <w:color w:val="666666"/>
                <w:kern w:val="0"/>
                <w:sz w:val="18"/>
                <w:szCs w:val="18"/>
                <w:lang w:val="en-US" w:eastAsia="zh-CN" w:bidi="ar"/>
              </w:rPr>
              <w:br w:type="textWrapping"/>
            </w:r>
            <w:r>
              <w:rPr>
                <w:rFonts w:hint="eastAsia" w:ascii="宋体" w:hAnsi="宋体" w:eastAsia="宋体" w:cs="宋体"/>
                <w:b w:val="0"/>
                <w:bCs/>
                <w:color w:val="666666"/>
                <w:kern w:val="0"/>
                <w:sz w:val="18"/>
                <w:szCs w:val="18"/>
                <w:lang w:val="en-US" w:eastAsia="zh-CN" w:bidi="ar"/>
              </w:rPr>
              <w:t>email：liangcheng@suse.edu.cn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体育教育训练学（网球方向）</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top"/>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运动康复</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硕士及以上</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1</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教师</w:t>
            </w:r>
          </w:p>
        </w:tc>
        <w:tc>
          <w:tcPr>
            <w:tcW w:w="2761" w:type="dxa"/>
            <w:vMerge w:val="continue"/>
            <w:shd w:val="clear" w:color="auto" w:fill="FFFFFF"/>
            <w:tcMar>
              <w:top w:w="75" w:type="dxa"/>
              <w:left w:w="75" w:type="dxa"/>
              <w:bottom w:w="75" w:type="dxa"/>
              <w:right w:w="75" w:type="dxa"/>
            </w:tcMar>
            <w:vAlign w:val="top"/>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7" w:hRule="atLeast"/>
          <w:tblCellSpacing w:w="7" w:type="dxa"/>
          <w:jc w:val="center"/>
        </w:trPr>
        <w:tc>
          <w:tcPr>
            <w:tcW w:w="113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图书馆</w:t>
            </w:r>
          </w:p>
        </w:tc>
        <w:tc>
          <w:tcPr>
            <w:tcW w:w="17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图书馆学、情报学、信息资源管理</w:t>
            </w:r>
          </w:p>
        </w:tc>
        <w:tc>
          <w:tcPr>
            <w:tcW w:w="11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硕士研究生</w:t>
            </w:r>
          </w:p>
        </w:tc>
        <w:tc>
          <w:tcPr>
            <w:tcW w:w="57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2</w:t>
            </w:r>
          </w:p>
        </w:tc>
        <w:tc>
          <w:tcPr>
            <w:tcW w:w="6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教辅</w:t>
            </w:r>
          </w:p>
        </w:tc>
        <w:tc>
          <w:tcPr>
            <w:tcW w:w="27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lang w:val="en-US" w:eastAsia="zh-CN" w:bidi="ar"/>
              </w:rPr>
              <w:t>馆长：段雪梅 办公室：0813-5505888 手  机：13890088226 email:951919703@qq.com</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jc w:val="left"/>
        <w:rPr>
          <w:rFonts w:hint="eastAsia" w:ascii="宋体" w:hAnsi="宋体" w:eastAsia="宋体" w:cs="宋体"/>
          <w:b w:val="0"/>
          <w:bCs/>
          <w:sz w:val="21"/>
          <w:szCs w:val="21"/>
        </w:rPr>
      </w:pPr>
      <w:r>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t>投递至相应招聘负责人邮箱后再投递一份至：fengxuesong2005@126.com</w:t>
      </w:r>
      <w:r>
        <w:rPr>
          <w:rFonts w:hint="eastAsia" w:ascii="宋体" w:hAnsi="宋体" w:eastAsia="宋体" w:cs="宋体"/>
          <w:b w:val="0"/>
          <w:bCs/>
          <w:sz w:val="21"/>
          <w:szCs w:val="21"/>
        </w:rPr>
        <w:br w:type="textWrapping"/>
      </w:r>
      <w:r>
        <w:rPr>
          <w:rFonts w:hint="eastAsia" w:ascii="宋体" w:hAnsi="宋体" w:eastAsia="宋体" w:cs="宋体"/>
          <w:b w:val="0"/>
          <w:bCs/>
          <w:sz w:val="21"/>
          <w:szCs w:val="21"/>
        </w:rPr>
        <w:t xml:space="preserve">注：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right="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（1）博士研究生、正高采用自主考核招聘方式，考核结果经上级主管部门批复后方取得事业编制；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（2）硕士研究生应为985或211高校毕业，硕士研究生、副高采用编制外聘用方式，实行人事代理，其待遇与在编在岗同类人员相同；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jc w:val="left"/>
        <w:rPr>
          <w:rFonts w:hint="eastAsia" w:ascii="宋体" w:hAnsi="宋体" w:eastAsia="宋体" w:cs="宋体"/>
          <w:b/>
          <w:bCs w:val="0"/>
          <w:i w:val="0"/>
          <w:caps w:val="0"/>
          <w:color w:val="333333"/>
          <w:spacing w:val="0"/>
          <w:sz w:val="21"/>
          <w:szCs w:val="21"/>
          <w:lang w:val="en-US" w:eastAsia="zh-CN"/>
        </w:rPr>
      </w:pPr>
      <w:r>
        <w:rPr>
          <w:rFonts w:hint="eastAsia" w:ascii="宋体" w:hAnsi="宋体" w:eastAsia="宋体" w:cs="宋体"/>
          <w:b w:val="0"/>
          <w:bCs/>
          <w:sz w:val="21"/>
          <w:szCs w:val="21"/>
        </w:rPr>
        <w:t xml:space="preserve">（3）正高原则上在45岁以下，博士、副高须在40岁以下，硕士研究生须在30岁以下。 </w:t>
      </w:r>
      <w:r>
        <w:rPr>
          <w:rFonts w:hint="eastAsia" w:ascii="宋体" w:hAnsi="宋体" w:eastAsia="宋体" w:cs="宋体"/>
          <w:b w:val="0"/>
          <w:bCs/>
          <w:sz w:val="21"/>
          <w:szCs w:val="21"/>
        </w:rPr>
        <w:br w:type="textWrapping"/>
      </w:r>
      <w:r>
        <w:rPr>
          <w:rFonts w:hint="eastAsia" w:ascii="宋体" w:hAnsi="宋体" w:eastAsia="宋体" w:cs="宋体"/>
          <w:b w:val="0"/>
          <w:bCs/>
          <w:sz w:val="21"/>
          <w:szCs w:val="21"/>
        </w:rPr>
        <w:br w:type="textWrapping"/>
      </w:r>
      <w:r>
        <w:rPr>
          <w:rFonts w:hint="eastAsia" w:ascii="宋体" w:hAnsi="宋体" w:eastAsia="宋体" w:cs="宋体"/>
          <w:b/>
          <w:bCs w:val="0"/>
          <w:i w:val="0"/>
          <w:caps w:val="0"/>
          <w:color w:val="333333"/>
          <w:spacing w:val="0"/>
          <w:sz w:val="24"/>
          <w:szCs w:val="24"/>
          <w:lang w:val="en-US" w:eastAsia="zh-CN"/>
        </w:rPr>
        <w:t>三、联系方式</w:t>
      </w:r>
    </w:p>
    <w:p>
      <w:pPr>
        <w:pStyle w:val="6"/>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t xml:space="preserve">联系地址：四川.自贡 四川理工学院人事处（643000） </w:t>
      </w:r>
    </w:p>
    <w:p>
      <w:pPr>
        <w:pStyle w:val="6"/>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t>E-mail:  投递至相应招聘负责人邮箱后再投递一份至：fengxuesong2005@126.com</w:t>
      </w:r>
    </w:p>
    <w:p>
      <w:pPr>
        <w:pStyle w:val="6"/>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t>备注：简历标题《</w:t>
      </w:r>
      <w:r>
        <w:rPr>
          <w:rStyle w:val="8"/>
          <w:rFonts w:ascii="Arial" w:hAnsi="Arial" w:eastAsia="宋体" w:cs="Arial"/>
          <w:b w:val="0"/>
          <w:bCs/>
          <w:i w:val="0"/>
          <w:caps w:val="0"/>
          <w:color w:val="000000" w:themeColor="text1"/>
          <w:spacing w:val="0"/>
          <w:sz w:val="21"/>
          <w:szCs w:val="21"/>
          <w:shd w:val="clear" w:fill="FFFFFF"/>
          <w14:textFill>
            <w14:solidFill>
              <w14:schemeClr w14:val="tx1"/>
            </w14:solidFill>
          </w14:textFill>
        </w:rPr>
        <w:t>中国研究生招聘网+姓名+学历+专业+毕业院校+应聘岗位名称</w:t>
      </w:r>
      <w:r>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t>》</w:t>
      </w:r>
    </w:p>
    <w:p>
      <w:pPr>
        <w:pStyle w:val="6"/>
        <w:keepNext w:val="0"/>
        <w:keepLines w:val="0"/>
        <w:widowControl/>
        <w:suppressLineNumbers w:val="0"/>
        <w:spacing w:before="210" w:beforeAutospacing="0" w:after="210" w:afterAutospacing="0" w:line="375" w:lineRule="atLeast"/>
        <w:ind w:right="210"/>
        <w:rPr>
          <w:rFonts w:hint="eastAsia" w:ascii="宋体" w:hAnsi="宋体" w:eastAsia="宋体" w:cs="宋体"/>
          <w:b/>
          <w:bCs w:val="0"/>
          <w:i w:val="0"/>
          <w:caps w:val="0"/>
          <w:color w:val="333333"/>
          <w:spacing w:val="0"/>
          <w:sz w:val="24"/>
          <w:szCs w:val="24"/>
          <w:lang w:val="en-US" w:eastAsia="zh-CN"/>
        </w:rPr>
      </w:pPr>
      <w:r>
        <w:rPr>
          <w:rFonts w:hint="eastAsia" w:ascii="宋体" w:hAnsi="宋体" w:eastAsia="宋体" w:cs="宋体"/>
          <w:b/>
          <w:bCs w:val="0"/>
          <w:i w:val="0"/>
          <w:caps w:val="0"/>
          <w:color w:val="333333"/>
          <w:spacing w:val="0"/>
          <w:sz w:val="24"/>
          <w:szCs w:val="24"/>
          <w:lang w:val="en-US" w:eastAsia="zh-CN"/>
        </w:rPr>
        <w:br w:type="textWrapping"/>
      </w:r>
      <w:r>
        <w:rPr>
          <w:rFonts w:hint="eastAsia" w:ascii="宋体" w:hAnsi="宋体" w:eastAsia="宋体" w:cs="宋体"/>
          <w:b/>
          <w:bCs w:val="0"/>
          <w:i w:val="0"/>
          <w:caps w:val="0"/>
          <w:color w:val="333333"/>
          <w:spacing w:val="0"/>
          <w:sz w:val="24"/>
          <w:szCs w:val="24"/>
          <w:lang w:val="en-US" w:eastAsia="zh-CN"/>
        </w:rPr>
        <w:t>四、人才引进政策</w:t>
      </w:r>
    </w:p>
    <w:p>
      <w:pPr>
        <w:pStyle w:val="3"/>
        <w:keepNext w:val="0"/>
        <w:keepLines w:val="0"/>
        <w:widowControl/>
        <w:suppressLineNumbers w:val="0"/>
        <w:pBdr>
          <w:top w:val="none" w:color="auto" w:sz="0" w:space="0"/>
          <w:left w:val="none" w:color="auto" w:sz="0" w:space="0"/>
          <w:bottom w:val="single" w:color="E2E2E2" w:sz="6" w:space="11"/>
          <w:right w:val="none" w:color="auto" w:sz="0" w:space="0"/>
        </w:pBdr>
        <w:spacing w:before="0" w:beforeAutospacing="0" w:after="0" w:afterAutospacing="0"/>
        <w:ind w:left="630" w:right="630"/>
        <w:rPr>
          <w:sz w:val="21"/>
          <w:szCs w:val="21"/>
        </w:rPr>
      </w:pPr>
      <w:r>
        <w:rPr>
          <w:sz w:val="21"/>
          <w:szCs w:val="21"/>
        </w:rPr>
        <w:t>一、学科带头人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8"/>
          <w:rFonts w:ascii="微软雅黑" w:hAnsi="微软雅黑" w:eastAsia="微软雅黑" w:cs="微软雅黑"/>
          <w:sz w:val="21"/>
          <w:szCs w:val="21"/>
        </w:rPr>
        <w:t>（一）岗位招聘条件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1、具有博士研究生学历及正高级专业技术职务；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2、具有省级及以上学术称号，取得所在专业领域较高的学术成就，在国内外有较大的学术影响，业绩突出；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3、年龄在50周岁以下（杰出人才可适当放宽年龄限制）。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8"/>
          <w:rFonts w:hint="eastAsia" w:ascii="微软雅黑" w:hAnsi="微软雅黑" w:eastAsia="微软雅黑" w:cs="微软雅黑"/>
          <w:sz w:val="21"/>
          <w:szCs w:val="21"/>
        </w:rPr>
        <w:t>（二）岗位待遇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（1）安家费：提供30～80万元税前安家费；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（2）住房：提供住房一套；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（3）科研及学科建设配套经费：自然科学类100～500万元人民币，人文社会科学类30～50万元人民币；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（4）在受聘学科带头人期间享受每年12～30万元人民币的校内绩效工资，为其配备助手，组建学科团队。在学术休假、出国、招收研究生方面享有优先权，在团队组建、科研经费使用、内部分配上有一定自主权；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（5）配偶根据情况妥善安置；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（6）其他待遇与学校同职务（职称）教师一致。 </w:t>
      </w:r>
    </w:p>
    <w:p>
      <w:pPr>
        <w:pStyle w:val="3"/>
        <w:keepNext w:val="0"/>
        <w:keepLines w:val="0"/>
        <w:widowControl/>
        <w:suppressLineNumbers w:val="0"/>
        <w:pBdr>
          <w:top w:val="none" w:color="auto" w:sz="0" w:space="0"/>
          <w:left w:val="none" w:color="auto" w:sz="0" w:space="0"/>
          <w:bottom w:val="single" w:color="E2E2E2" w:sz="6" w:space="11"/>
          <w:right w:val="none" w:color="auto" w:sz="0" w:space="0"/>
        </w:pBdr>
        <w:spacing w:before="0" w:beforeAutospacing="0" w:after="0" w:afterAutospacing="0"/>
        <w:ind w:left="630" w:right="630"/>
        <w:rPr>
          <w:sz w:val="24"/>
          <w:szCs w:val="24"/>
        </w:rPr>
      </w:pPr>
      <w:r>
        <w:rPr>
          <w:sz w:val="24"/>
          <w:szCs w:val="24"/>
        </w:rPr>
        <w:t xml:space="preserve">二、优秀博士研究生、博士后出站人员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8"/>
          <w:rFonts w:hint="eastAsia" w:ascii="微软雅黑" w:hAnsi="微软雅黑" w:eastAsia="微软雅黑" w:cs="微软雅黑"/>
          <w:sz w:val="21"/>
          <w:szCs w:val="21"/>
        </w:rPr>
        <w:t>（一）岗位招聘条件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1、A类：具有博士学历学位，年龄一般不超过45周岁，且具备下列条件之一：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（1）在海外知名高校取得博士学位的人员；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（2）具有副高及以上专业技术职务的人员。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2、B类：具有博士学历学位，年龄一般不超过45周岁，且具备下列条件之一：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（1）作为项目负责人承担国家自然科学基金项目或国家哲学社会科学基金项目；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（2）博士后出站人员。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3、博士C类：具有博士学历学位，年龄一般不超过40周岁，其专业为我校所需求的学科专业。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8"/>
          <w:rFonts w:hint="eastAsia" w:ascii="微软雅黑" w:hAnsi="微软雅黑" w:eastAsia="微软雅黑" w:cs="微软雅黑"/>
          <w:sz w:val="21"/>
          <w:szCs w:val="21"/>
        </w:rPr>
        <w:t>（二）岗位待遇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1、购房补贴：A类：20～25万元； B类：15～20万元； C类12～15万元。可凭购房合同及发票一次性支付。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2、科研启动费：以项目的形式提供科研启动经费：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理工科： A、B类15万元， C类10万元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人文社科： A、B类8万元， C类4万元。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3、不具备副高专业技术职务的，五年内享受副教授三级岗位同等待遇；具备副高级专业技术职务的，根据情况可享受副教授五级或六级岗位同等待遇。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4、享受800元/月的校内人才津贴。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5、酌情解决配偶工作，实行人事代理，其待遇参照在编同级同类人员执行。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rPr>
        <w:t xml:space="preserve">6、给予为期三年的住房租金补贴（1000元/月）； </w:t>
      </w:r>
    </w:p>
    <w:p>
      <w:pPr>
        <w:pStyle w:val="6"/>
        <w:keepNext w:val="0"/>
        <w:keepLines w:val="0"/>
        <w:widowControl/>
        <w:numPr>
          <w:ilvl w:val="0"/>
          <w:numId w:val="0"/>
        </w:numPr>
        <w:suppressLineNumbers w:val="0"/>
        <w:spacing w:before="210" w:beforeAutospacing="0" w:after="210" w:afterAutospacing="0" w:line="375" w:lineRule="atLeast"/>
        <w:ind w:right="210" w:rightChars="0"/>
        <w:rPr>
          <w:rFonts w:hint="eastAsia" w:ascii="宋体" w:hAnsi="宋体" w:eastAsia="宋体" w:cs="宋体"/>
          <w:b/>
          <w:bCs w:val="0"/>
          <w:i w:val="0"/>
          <w:caps w:val="0"/>
          <w:color w:val="333333"/>
          <w:spacing w:val="0"/>
          <w:sz w:val="21"/>
          <w:szCs w:val="21"/>
          <w:lang w:val="en-US" w:eastAsia="zh-CN"/>
        </w:rPr>
      </w:pPr>
    </w:p>
    <w:p>
      <w:pPr>
        <w:pStyle w:val="6"/>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333333"/>
          <w:spacing w:val="0"/>
          <w:sz w:val="21"/>
          <w:szCs w:val="21"/>
          <w:lang w:val="en-US" w:eastAsia="zh-CN"/>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lucida Grand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9C228"/>
    <w:multiLevelType w:val="singleLevel"/>
    <w:tmpl w:val="5639C22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527F"/>
    <w:rsid w:val="0B5C1A33"/>
    <w:rsid w:val="0C1D4C67"/>
    <w:rsid w:val="0ECF2F4D"/>
    <w:rsid w:val="0FF05BC3"/>
    <w:rsid w:val="1B810965"/>
    <w:rsid w:val="1CE21EC7"/>
    <w:rsid w:val="1F512C6F"/>
    <w:rsid w:val="24971679"/>
    <w:rsid w:val="25A83D30"/>
    <w:rsid w:val="2A093F73"/>
    <w:rsid w:val="2D355C39"/>
    <w:rsid w:val="3ADB461C"/>
    <w:rsid w:val="40592554"/>
    <w:rsid w:val="49944773"/>
    <w:rsid w:val="4CBB5870"/>
    <w:rsid w:val="4EB643B1"/>
    <w:rsid w:val="590A033E"/>
    <w:rsid w:val="5E2E14F3"/>
    <w:rsid w:val="625C2D4A"/>
    <w:rsid w:val="628D037A"/>
    <w:rsid w:val="6EC707D9"/>
    <w:rsid w:val="7286384F"/>
    <w:rsid w:val="77667CE0"/>
    <w:rsid w:val="798D6CFB"/>
    <w:rsid w:val="7D062A47"/>
    <w:rsid w:val="7D3979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2016-12-01T02:41:07Z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