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Style w:val="17"/>
          <w:color w:val="000000"/>
          <w:szCs w:val="21"/>
        </w:rPr>
      </w:pPr>
      <w:r>
        <w:rPr>
          <w:rStyle w:val="17"/>
          <w:rFonts w:hint="eastAsia"/>
          <w:color w:val="000000"/>
          <w:szCs w:val="21"/>
        </w:rPr>
        <w:t>福州外语外贸学院招聘启事</w:t>
      </w:r>
    </w:p>
    <w:p>
      <w:pPr>
        <w:adjustRightInd w:val="0"/>
        <w:snapToGrid w:val="0"/>
        <w:spacing w:line="440" w:lineRule="atLeast"/>
        <w:ind w:firstLine="31680" w:firstLineChars="200"/>
        <w:rPr>
          <w:rFonts w:ascii="仿宋" w:hAnsi="仿宋" w:eastAsia="仿宋" w:cs="仿宋"/>
          <w:sz w:val="28"/>
          <w:szCs w:val="28"/>
        </w:rPr>
      </w:pPr>
      <w:r>
        <w:rPr>
          <w:rFonts w:hint="eastAsia" w:ascii="仿宋" w:hAnsi="仿宋" w:eastAsia="仿宋" w:cs="仿宋"/>
          <w:sz w:val="28"/>
          <w:szCs w:val="28"/>
        </w:rPr>
        <w:t>福州外语外贸学院是教育部批准建立的全日制普通本科大学，是全国非营利性民办高等学校联盟发起单位、副主席单位和中国民办教育协会高等教育专业委员会常务副理事单位。学校前身为创办于</w:t>
      </w:r>
      <w:r>
        <w:rPr>
          <w:rFonts w:ascii="仿宋" w:hAnsi="仿宋" w:eastAsia="仿宋" w:cs="仿宋"/>
          <w:sz w:val="28"/>
          <w:szCs w:val="28"/>
        </w:rPr>
        <w:t>2004</w:t>
      </w:r>
      <w:r>
        <w:rPr>
          <w:rFonts w:hint="eastAsia" w:ascii="仿宋" w:hAnsi="仿宋" w:eastAsia="仿宋" w:cs="仿宋"/>
          <w:sz w:val="28"/>
          <w:szCs w:val="28"/>
        </w:rPr>
        <w:t>年的福州外语外贸职业技术学院，</w:t>
      </w:r>
      <w:r>
        <w:rPr>
          <w:rFonts w:ascii="仿宋" w:hAnsi="仿宋" w:eastAsia="仿宋" w:cs="仿宋"/>
          <w:sz w:val="28"/>
          <w:szCs w:val="28"/>
        </w:rPr>
        <w:t>2011</w:t>
      </w:r>
      <w:r>
        <w:rPr>
          <w:rFonts w:hint="eastAsia" w:ascii="仿宋" w:hAnsi="仿宋" w:eastAsia="仿宋" w:cs="仿宋"/>
          <w:sz w:val="28"/>
          <w:szCs w:val="28"/>
        </w:rPr>
        <w:t>年升格为民办本科普通高等院校。</w:t>
      </w:r>
    </w:p>
    <w:p>
      <w:pPr>
        <w:adjustRightInd w:val="0"/>
        <w:snapToGrid w:val="0"/>
        <w:spacing w:line="440" w:lineRule="atLeast"/>
        <w:ind w:firstLine="31680" w:firstLineChars="200"/>
        <w:rPr>
          <w:rFonts w:ascii="仿宋" w:hAnsi="仿宋" w:eastAsia="仿宋" w:cs="仿宋"/>
          <w:sz w:val="28"/>
          <w:szCs w:val="28"/>
        </w:rPr>
      </w:pPr>
      <w:r>
        <w:rPr>
          <w:rFonts w:hint="eastAsia" w:ascii="仿宋" w:hAnsi="仿宋" w:eastAsia="仿宋" w:cs="仿宋"/>
          <w:sz w:val="28"/>
          <w:szCs w:val="28"/>
        </w:rPr>
        <w:t>学校全面贯彻党的教育方针，坚持社会主义办学方向，坚持立德树人，秉承举办者吴钦明先生“教育是一种大爱”的情怀，积极倡导“善心、善言、善行”的教育理念，砥砺出“融会中外，经世致用”的校训精神，孕育了“崇德、勤学、求实、创新”的优良校风，不断推动学校事业向前发展，携手其他公办高校成为福建省普通高等院校办学潜力提升最快的</w:t>
      </w:r>
      <w:r>
        <w:rPr>
          <w:rFonts w:ascii="仿宋" w:hAnsi="仿宋" w:eastAsia="仿宋" w:cs="仿宋"/>
          <w:sz w:val="28"/>
          <w:szCs w:val="28"/>
        </w:rPr>
        <w:t>9</w:t>
      </w:r>
      <w:r>
        <w:rPr>
          <w:rFonts w:hint="eastAsia" w:ascii="仿宋" w:hAnsi="仿宋" w:eastAsia="仿宋" w:cs="仿宋"/>
          <w:sz w:val="28"/>
          <w:szCs w:val="28"/>
        </w:rPr>
        <w:t>所高校之一。</w:t>
      </w:r>
    </w:p>
    <w:p>
      <w:pPr>
        <w:adjustRightInd w:val="0"/>
        <w:snapToGrid w:val="0"/>
        <w:spacing w:line="440" w:lineRule="atLeast"/>
        <w:ind w:firstLine="31680" w:firstLineChars="200"/>
        <w:rPr>
          <w:rFonts w:ascii="仿宋" w:hAnsi="仿宋" w:eastAsia="仿宋" w:cs="仿宋"/>
          <w:sz w:val="28"/>
          <w:szCs w:val="28"/>
        </w:rPr>
      </w:pPr>
      <w:r>
        <w:rPr>
          <w:rFonts w:hint="eastAsia" w:ascii="仿宋" w:hAnsi="仿宋" w:eastAsia="仿宋" w:cs="仿宋"/>
          <w:sz w:val="28"/>
          <w:szCs w:val="28"/>
        </w:rPr>
        <w:t>学校地处素有“海滨邹鲁、文献名邦”美誉之称的福建省省会福州门户长乐市。学校占地面积</w:t>
      </w:r>
      <w:r>
        <w:rPr>
          <w:rFonts w:ascii="仿宋" w:hAnsi="仿宋" w:eastAsia="仿宋" w:cs="仿宋"/>
          <w:sz w:val="28"/>
          <w:szCs w:val="28"/>
        </w:rPr>
        <w:t>1200</w:t>
      </w:r>
      <w:r>
        <w:rPr>
          <w:rFonts w:hint="eastAsia" w:ascii="仿宋" w:hAnsi="仿宋" w:eastAsia="仿宋" w:cs="仿宋"/>
          <w:sz w:val="28"/>
          <w:szCs w:val="28"/>
        </w:rPr>
        <w:t>余亩，建筑面积</w:t>
      </w:r>
      <w:r>
        <w:rPr>
          <w:rFonts w:ascii="仿宋" w:hAnsi="仿宋" w:eastAsia="仿宋" w:cs="仿宋"/>
          <w:sz w:val="28"/>
          <w:szCs w:val="28"/>
        </w:rPr>
        <w:t>44</w:t>
      </w:r>
      <w:r>
        <w:rPr>
          <w:rFonts w:hint="eastAsia" w:ascii="仿宋" w:hAnsi="仿宋" w:eastAsia="仿宋" w:cs="仿宋"/>
          <w:sz w:val="28"/>
          <w:szCs w:val="28"/>
        </w:rPr>
        <w:t>万平方米。学校现有本科专业</w:t>
      </w:r>
      <w:r>
        <w:rPr>
          <w:rFonts w:ascii="仿宋" w:hAnsi="仿宋" w:eastAsia="仿宋" w:cs="仿宋"/>
          <w:sz w:val="28"/>
          <w:szCs w:val="28"/>
        </w:rPr>
        <w:t>24</w:t>
      </w:r>
      <w:r>
        <w:rPr>
          <w:rFonts w:hint="eastAsia" w:ascii="仿宋" w:hAnsi="仿宋" w:eastAsia="仿宋" w:cs="仿宋"/>
          <w:sz w:val="28"/>
          <w:szCs w:val="28"/>
        </w:rPr>
        <w:t>个，专业涵盖文、经、管、艺、工等多个学科。现有全日制本科在校生</w:t>
      </w:r>
      <w:r>
        <w:rPr>
          <w:rFonts w:ascii="仿宋" w:hAnsi="仿宋" w:eastAsia="仿宋" w:cs="仿宋"/>
          <w:sz w:val="28"/>
          <w:szCs w:val="28"/>
        </w:rPr>
        <w:t>15100</w:t>
      </w:r>
      <w:r>
        <w:rPr>
          <w:rFonts w:hint="eastAsia" w:ascii="仿宋" w:hAnsi="仿宋" w:eastAsia="仿宋" w:cs="仿宋"/>
          <w:sz w:val="28"/>
          <w:szCs w:val="28"/>
        </w:rPr>
        <w:t>余人，现有专任教师</w:t>
      </w:r>
      <w:r>
        <w:rPr>
          <w:rFonts w:ascii="仿宋" w:hAnsi="仿宋" w:eastAsia="仿宋" w:cs="仿宋"/>
          <w:sz w:val="28"/>
          <w:szCs w:val="28"/>
        </w:rPr>
        <w:t>771</w:t>
      </w:r>
      <w:r>
        <w:rPr>
          <w:rFonts w:hint="eastAsia" w:ascii="仿宋" w:hAnsi="仿宋" w:eastAsia="仿宋" w:cs="仿宋"/>
          <w:sz w:val="28"/>
          <w:szCs w:val="28"/>
        </w:rPr>
        <w:t>人，专任教师中具有博士、硕士比例居全省民办本科高校首位。学校还聘任了来自美国、加拿大、英国、法国、日本、新加坡等国家外籍教师。学校投入</w:t>
      </w:r>
      <w:r>
        <w:rPr>
          <w:rFonts w:ascii="仿宋" w:hAnsi="仿宋" w:eastAsia="仿宋" w:cs="仿宋"/>
          <w:sz w:val="28"/>
          <w:szCs w:val="28"/>
        </w:rPr>
        <w:t>2000</w:t>
      </w:r>
      <w:r>
        <w:rPr>
          <w:rFonts w:hint="eastAsia" w:ascii="仿宋" w:hAnsi="仿宋" w:eastAsia="仿宋" w:cs="仿宋"/>
          <w:sz w:val="28"/>
          <w:szCs w:val="28"/>
        </w:rPr>
        <w:t>多万元建成拥有</w:t>
      </w:r>
      <w:r>
        <w:rPr>
          <w:rFonts w:ascii="仿宋" w:hAnsi="仿宋" w:eastAsia="仿宋" w:cs="仿宋"/>
          <w:sz w:val="28"/>
          <w:szCs w:val="28"/>
        </w:rPr>
        <w:t>5400</w:t>
      </w:r>
      <w:r>
        <w:rPr>
          <w:rFonts w:hint="eastAsia" w:ascii="仿宋" w:hAnsi="仿宋" w:eastAsia="仿宋" w:cs="仿宋"/>
          <w:sz w:val="28"/>
          <w:szCs w:val="28"/>
        </w:rPr>
        <w:t>多平方米的教师发展中心，成为教师科学研究、经验交流、职业成长、信息化教学资源建设的重要场所。学校重视加强师德师风建设，把“教书育人、从严执教、为人师表、严谨治学、师德高尚”作为师德建设目标，良好的师德风尚在学校蔚然成风。</w:t>
      </w:r>
    </w:p>
    <w:p>
      <w:pPr>
        <w:adjustRightInd w:val="0"/>
        <w:snapToGrid w:val="0"/>
        <w:spacing w:line="440" w:lineRule="atLeast"/>
        <w:ind w:firstLine="31680" w:firstLineChars="200"/>
        <w:rPr>
          <w:rFonts w:ascii="仿宋" w:hAnsi="仿宋" w:eastAsia="仿宋" w:cs="仿宋"/>
          <w:sz w:val="28"/>
          <w:szCs w:val="28"/>
        </w:rPr>
      </w:pPr>
      <w:r>
        <w:rPr>
          <w:rFonts w:hint="eastAsia" w:ascii="仿宋" w:hAnsi="仿宋" w:eastAsia="仿宋" w:cs="仿宋"/>
          <w:sz w:val="28"/>
          <w:szCs w:val="28"/>
        </w:rPr>
        <w:t>学校坚持质量立校，经过不懈努力，已经获得一批省级专业综合改革试点、省级实验教学示范中心、省级高等教育教学成果奖、国家级和省级大学生创新创业训练计划项目等。科研工作成效显著，在教育部公布的</w:t>
      </w:r>
      <w:r>
        <w:rPr>
          <w:rFonts w:ascii="仿宋" w:hAnsi="仿宋" w:eastAsia="仿宋" w:cs="仿宋"/>
          <w:sz w:val="28"/>
          <w:szCs w:val="28"/>
        </w:rPr>
        <w:t>2015</w:t>
      </w:r>
      <w:r>
        <w:rPr>
          <w:rFonts w:hint="eastAsia" w:ascii="仿宋" w:hAnsi="仿宋" w:eastAsia="仿宋" w:cs="仿宋"/>
          <w:sz w:val="28"/>
          <w:szCs w:val="28"/>
        </w:rPr>
        <w:t>年全国民办本科高校科研综合竞争力排名中，我校名列</w:t>
      </w:r>
      <w:r>
        <w:rPr>
          <w:rFonts w:ascii="仿宋" w:hAnsi="仿宋" w:eastAsia="仿宋" w:cs="仿宋"/>
          <w:sz w:val="28"/>
          <w:szCs w:val="28"/>
        </w:rPr>
        <w:t>25</w:t>
      </w:r>
      <w:r>
        <w:rPr>
          <w:rFonts w:hint="eastAsia" w:ascii="仿宋" w:hAnsi="仿宋" w:eastAsia="仿宋" w:cs="仿宋"/>
          <w:sz w:val="28"/>
          <w:szCs w:val="28"/>
        </w:rPr>
        <w:t>位，位列福建省民办高校之首。</w:t>
      </w:r>
    </w:p>
    <w:p>
      <w:pPr>
        <w:adjustRightInd w:val="0"/>
        <w:snapToGrid w:val="0"/>
        <w:spacing w:line="440" w:lineRule="atLeast"/>
        <w:ind w:firstLine="31680" w:firstLineChars="200"/>
        <w:rPr>
          <w:rFonts w:ascii="仿宋" w:hAnsi="仿宋" w:eastAsia="仿宋" w:cs="仿宋"/>
          <w:sz w:val="28"/>
          <w:szCs w:val="28"/>
        </w:rPr>
      </w:pPr>
      <w:r>
        <w:rPr>
          <w:rFonts w:hint="eastAsia" w:ascii="仿宋" w:hAnsi="仿宋" w:eastAsia="仿宋" w:cs="仿宋"/>
          <w:sz w:val="28"/>
          <w:szCs w:val="28"/>
        </w:rPr>
        <w:t>学校不断创新人才培养模式，强调学生应用能力的培养，学生积极参加各级各类专业竞赛，获奖数量居福建省民办高校首位。学校注重培养学生的综合素质、创新创业能力，投资</w:t>
      </w:r>
      <w:r>
        <w:rPr>
          <w:rFonts w:ascii="仿宋" w:hAnsi="仿宋" w:eastAsia="仿宋" w:cs="仿宋"/>
          <w:sz w:val="28"/>
          <w:szCs w:val="28"/>
        </w:rPr>
        <w:t>1000</w:t>
      </w:r>
      <w:r>
        <w:rPr>
          <w:rFonts w:hint="eastAsia" w:ascii="仿宋" w:hAnsi="仿宋" w:eastAsia="仿宋" w:cs="仿宋"/>
          <w:sz w:val="28"/>
          <w:szCs w:val="28"/>
        </w:rPr>
        <w:t>余万元，建设总建筑面积</w:t>
      </w:r>
      <w:r>
        <w:rPr>
          <w:rFonts w:ascii="仿宋" w:hAnsi="仿宋" w:eastAsia="仿宋" w:cs="仿宋"/>
          <w:sz w:val="28"/>
          <w:szCs w:val="28"/>
        </w:rPr>
        <w:t>1.1</w:t>
      </w:r>
      <w:r>
        <w:rPr>
          <w:rFonts w:hint="eastAsia" w:ascii="仿宋" w:hAnsi="仿宋" w:eastAsia="仿宋" w:cs="仿宋"/>
          <w:sz w:val="28"/>
          <w:szCs w:val="28"/>
        </w:rPr>
        <w:t>万平方米的校内大学生创业孵化基地，是福建省高校毕业生创业培训基地。荣获“全国高等学校创业教育研究与实践先进单位”。历年就业率均在</w:t>
      </w:r>
      <w:r>
        <w:rPr>
          <w:rFonts w:ascii="仿宋" w:hAnsi="仿宋" w:eastAsia="仿宋" w:cs="仿宋"/>
          <w:sz w:val="28"/>
          <w:szCs w:val="28"/>
        </w:rPr>
        <w:t>97%</w:t>
      </w:r>
      <w:r>
        <w:rPr>
          <w:rFonts w:hint="eastAsia" w:ascii="仿宋" w:hAnsi="仿宋" w:eastAsia="仿宋" w:cs="仿宋"/>
          <w:sz w:val="28"/>
          <w:szCs w:val="28"/>
        </w:rPr>
        <w:t>以上，大部分毕业生已在各自的行业部门中发挥着骨干作用，越来越多的知名企业把学校作为长期合作的人才培养储备基地。</w:t>
      </w:r>
    </w:p>
    <w:p>
      <w:pPr>
        <w:adjustRightInd w:val="0"/>
        <w:snapToGrid w:val="0"/>
        <w:spacing w:line="440" w:lineRule="atLeast"/>
        <w:ind w:firstLine="31680" w:firstLineChars="200"/>
        <w:rPr>
          <w:rFonts w:ascii="仿宋" w:hAnsi="仿宋" w:eastAsia="仿宋" w:cs="仿宋"/>
          <w:sz w:val="28"/>
          <w:szCs w:val="28"/>
        </w:rPr>
      </w:pPr>
      <w:r>
        <w:rPr>
          <w:rFonts w:hint="eastAsia" w:ascii="仿宋" w:hAnsi="仿宋" w:eastAsia="仿宋" w:cs="仿宋"/>
          <w:sz w:val="28"/>
          <w:szCs w:val="28"/>
        </w:rPr>
        <w:t>学校重视国际交流与台港澳合作，是福建省首批与台湾高校开展合作办学试点院校。先后与英国普利茅斯大学、美国纽约州立大学石溪分校、新西兰梅西大学、泰国博仁大学、法国思图迪高等商业</w:t>
      </w:r>
      <w:r>
        <w:rPr>
          <w:rFonts w:ascii="仿宋" w:hAnsi="仿宋" w:eastAsia="仿宋" w:cs="仿宋"/>
          <w:sz w:val="28"/>
          <w:szCs w:val="28"/>
        </w:rPr>
        <w:t>&amp;</w:t>
      </w:r>
      <w:r>
        <w:rPr>
          <w:rFonts w:hint="eastAsia" w:ascii="仿宋" w:hAnsi="仿宋" w:eastAsia="仿宋" w:cs="仿宋"/>
          <w:sz w:val="28"/>
          <w:szCs w:val="28"/>
        </w:rPr>
        <w:t>艺术学校等国外多所大学开展多方面的合作，并与台湾地区中原大学、明道大学、树德科技大学等十余所高校建立教学与科研合作关系。</w:t>
      </w:r>
    </w:p>
    <w:p>
      <w:pPr>
        <w:adjustRightInd w:val="0"/>
        <w:snapToGrid w:val="0"/>
        <w:spacing w:line="440" w:lineRule="atLeast"/>
        <w:ind w:firstLine="31680" w:firstLineChars="200"/>
        <w:rPr>
          <w:rFonts w:ascii="仿宋" w:hAnsi="仿宋" w:eastAsia="仿宋" w:cs="仿宋"/>
          <w:sz w:val="28"/>
          <w:szCs w:val="28"/>
        </w:rPr>
      </w:pPr>
      <w:r>
        <w:rPr>
          <w:rFonts w:hint="eastAsia" w:ascii="仿宋" w:hAnsi="仿宋" w:eastAsia="仿宋" w:cs="仿宋"/>
          <w:sz w:val="28"/>
          <w:szCs w:val="28"/>
        </w:rPr>
        <w:t>学校始终得到党和政府的高度重视和亲切关怀。创办以来，党和国家领导人李岚清以及福建省历任领导汪毅夫、陈明义、袁启彤、陈桦、薛卫民、潘心诚、林强、叶家松先后多次到校视察指导工作。各级党委政府和主管部门、新闻媒体对我校给予充分肯定和热情鼓励。学校先后荣获“中国民办高校教育优秀学校”、福建省第十届、第十一届、第十二届文明学校、“福建省高校毕业生就业工作先进单位”、“福建省职业教育先进单位”、“福建省先进教工之家”、首届全国青运会“突出贡献奖”、“平安校园”等殊荣。中央电视台、福建电视台、中国教育报、福建日报、人民网、光明网、等主流媒体对学校办学作了多角度报道。</w:t>
      </w:r>
    </w:p>
    <w:p>
      <w:pPr>
        <w:adjustRightInd w:val="0"/>
        <w:snapToGrid w:val="0"/>
        <w:spacing w:line="440" w:lineRule="atLeast"/>
        <w:ind w:firstLine="31680" w:firstLineChars="200"/>
        <w:rPr>
          <w:rFonts w:ascii="仿宋" w:hAnsi="仿宋" w:eastAsia="仿宋" w:cs="仿宋"/>
          <w:sz w:val="28"/>
          <w:szCs w:val="28"/>
        </w:rPr>
      </w:pPr>
      <w:r>
        <w:rPr>
          <w:rFonts w:hint="eastAsia" w:ascii="仿宋" w:hAnsi="仿宋" w:eastAsia="仿宋" w:cs="仿宋"/>
          <w:sz w:val="28"/>
          <w:szCs w:val="28"/>
        </w:rPr>
        <w:t>展望未来，我们将进一步贯彻“创新、协调、绿色、开放、共享”五大发展理念，贯彻党的教育方针，坚持社会主义办学方向，夯实基础，强化质量，全面深化改革，推进内涵发展，朝着建设“百年福外，一流学府”的奋斗目标前进，努力为实现中华民族伟大复兴的中国梦和建设机制活、产业优、百姓富、生态美的新福建作出新的更大贡献！</w:t>
      </w:r>
    </w:p>
    <w:p>
      <w:pPr>
        <w:numPr>
          <w:ilvl w:val="0"/>
          <w:numId w:val="1"/>
        </w:numPr>
        <w:adjustRightInd w:val="0"/>
        <w:snapToGrid w:val="0"/>
        <w:spacing w:line="440" w:lineRule="atLeast"/>
        <w:ind w:firstLine="31680" w:firstLineChars="200"/>
        <w:rPr>
          <w:rFonts w:ascii="仿宋" w:hAnsi="仿宋" w:eastAsia="仿宋" w:cs="仿宋"/>
          <w:sz w:val="28"/>
          <w:szCs w:val="28"/>
        </w:rPr>
      </w:pPr>
      <w:r>
        <w:rPr>
          <w:rFonts w:hint="eastAsia" w:ascii="仿宋" w:hAnsi="仿宋" w:eastAsia="仿宋" w:cs="仿宋"/>
          <w:b/>
          <w:sz w:val="28"/>
          <w:szCs w:val="28"/>
        </w:rPr>
        <w:t>基本条件</w:t>
      </w:r>
      <w:r>
        <w:rPr>
          <w:rFonts w:ascii="仿宋" w:hAnsi="仿宋" w:eastAsia="仿宋" w:cs="仿宋"/>
          <w:b/>
          <w:sz w:val="28"/>
          <w:szCs w:val="28"/>
        </w:rPr>
        <w:br w:type="textWrapping"/>
      </w:r>
      <w:r>
        <w:rPr>
          <w:rFonts w:hint="eastAsia" w:ascii="仿宋" w:hAnsi="仿宋" w:eastAsia="仿宋" w:cs="仿宋"/>
          <w:sz w:val="28"/>
          <w:szCs w:val="28"/>
        </w:rPr>
        <w:t>　　</w:t>
      </w:r>
      <w:r>
        <w:rPr>
          <w:rFonts w:ascii="仿宋" w:hAnsi="仿宋" w:eastAsia="仿宋" w:cs="仿宋"/>
          <w:sz w:val="28"/>
          <w:szCs w:val="28"/>
        </w:rPr>
        <w:t>1.</w:t>
      </w:r>
      <w:r>
        <w:rPr>
          <w:rFonts w:hint="eastAsia" w:ascii="仿宋" w:hAnsi="仿宋" w:eastAsia="仿宋" w:cs="仿宋"/>
          <w:sz w:val="28"/>
          <w:szCs w:val="28"/>
        </w:rPr>
        <w:t>拥护中国共产党的领导，热爱社会主义祖国，遵纪守法；</w:t>
      </w:r>
      <w:r>
        <w:rPr>
          <w:rFonts w:ascii="仿宋" w:hAnsi="仿宋" w:eastAsia="仿宋" w:cs="仿宋"/>
          <w:sz w:val="28"/>
          <w:szCs w:val="28"/>
        </w:rPr>
        <w:br w:type="textWrapping"/>
      </w:r>
      <w:r>
        <w:rPr>
          <w:rFonts w:hint="eastAsia" w:ascii="仿宋" w:hAnsi="仿宋" w:eastAsia="仿宋" w:cs="仿宋"/>
          <w:sz w:val="28"/>
          <w:szCs w:val="28"/>
        </w:rPr>
        <w:t>　　</w:t>
      </w:r>
      <w:r>
        <w:rPr>
          <w:rFonts w:ascii="仿宋" w:hAnsi="仿宋" w:eastAsia="仿宋" w:cs="仿宋"/>
          <w:sz w:val="28"/>
          <w:szCs w:val="28"/>
        </w:rPr>
        <w:t>2.</w:t>
      </w:r>
      <w:r>
        <w:rPr>
          <w:rFonts w:hint="eastAsia" w:ascii="仿宋" w:hAnsi="仿宋" w:eastAsia="仿宋" w:cs="仿宋"/>
          <w:sz w:val="28"/>
          <w:szCs w:val="28"/>
        </w:rPr>
        <w:t>热爱党的教育事业，具有良好的职业道德；</w:t>
      </w:r>
      <w:r>
        <w:rPr>
          <w:rFonts w:ascii="仿宋" w:hAnsi="仿宋" w:eastAsia="仿宋" w:cs="仿宋"/>
          <w:sz w:val="28"/>
          <w:szCs w:val="28"/>
        </w:rPr>
        <w:br w:type="textWrapping"/>
      </w:r>
      <w:r>
        <w:rPr>
          <w:rFonts w:hint="eastAsia" w:ascii="仿宋" w:hAnsi="仿宋" w:eastAsia="仿宋" w:cs="仿宋"/>
          <w:sz w:val="28"/>
          <w:szCs w:val="28"/>
        </w:rPr>
        <w:t>　　</w:t>
      </w:r>
      <w:r>
        <w:rPr>
          <w:rFonts w:ascii="仿宋" w:hAnsi="仿宋" w:eastAsia="仿宋" w:cs="仿宋"/>
          <w:sz w:val="28"/>
          <w:szCs w:val="28"/>
        </w:rPr>
        <w:t>3.</w:t>
      </w:r>
      <w:r>
        <w:rPr>
          <w:rFonts w:hint="eastAsia" w:ascii="仿宋" w:hAnsi="仿宋" w:eastAsia="仿宋" w:cs="仿宋"/>
          <w:sz w:val="28"/>
          <w:szCs w:val="28"/>
        </w:rPr>
        <w:t>品行端正，有强烈的事业心和责任感；</w:t>
      </w:r>
      <w:r>
        <w:rPr>
          <w:rFonts w:ascii="仿宋" w:hAnsi="仿宋" w:eastAsia="仿宋" w:cs="仿宋"/>
          <w:sz w:val="28"/>
          <w:szCs w:val="28"/>
        </w:rPr>
        <w:br w:type="textWrapping"/>
      </w:r>
      <w:r>
        <w:rPr>
          <w:rFonts w:hint="eastAsia" w:ascii="仿宋" w:hAnsi="仿宋" w:eastAsia="仿宋" w:cs="仿宋"/>
          <w:sz w:val="28"/>
          <w:szCs w:val="28"/>
        </w:rPr>
        <w:t>　　</w:t>
      </w:r>
      <w:r>
        <w:rPr>
          <w:rFonts w:ascii="仿宋" w:hAnsi="仿宋" w:eastAsia="仿宋" w:cs="仿宋"/>
          <w:sz w:val="28"/>
          <w:szCs w:val="28"/>
        </w:rPr>
        <w:t>4.</w:t>
      </w:r>
      <w:r>
        <w:rPr>
          <w:rFonts w:hint="eastAsia" w:ascii="仿宋" w:hAnsi="仿宋" w:eastAsia="仿宋" w:cs="仿宋"/>
          <w:sz w:val="28"/>
          <w:szCs w:val="28"/>
        </w:rPr>
        <w:t>身体健康，心理素质好，有较强的语言表达能力，能胜任一线教学工作需要；</w:t>
      </w:r>
      <w:r>
        <w:rPr>
          <w:rFonts w:ascii="仿宋" w:hAnsi="仿宋" w:eastAsia="仿宋" w:cs="仿宋"/>
          <w:sz w:val="28"/>
          <w:szCs w:val="28"/>
        </w:rPr>
        <w:br w:type="textWrapping"/>
      </w:r>
      <w:r>
        <w:rPr>
          <w:rFonts w:hint="eastAsia" w:ascii="仿宋" w:hAnsi="仿宋" w:eastAsia="仿宋" w:cs="仿宋"/>
          <w:sz w:val="28"/>
          <w:szCs w:val="28"/>
        </w:rPr>
        <w:t>　　</w:t>
      </w:r>
      <w:r>
        <w:rPr>
          <w:rFonts w:ascii="仿宋" w:hAnsi="仿宋" w:eastAsia="仿宋" w:cs="仿宋"/>
          <w:sz w:val="28"/>
          <w:szCs w:val="28"/>
        </w:rPr>
        <w:t>5.</w:t>
      </w:r>
      <w:r>
        <w:rPr>
          <w:rFonts w:hint="eastAsia" w:ascii="仿宋" w:hAnsi="仿宋" w:eastAsia="仿宋" w:cs="仿宋"/>
          <w:sz w:val="28"/>
          <w:szCs w:val="28"/>
        </w:rPr>
        <w:t>具有较扎实的专业知识和相关专业实践技能，有创新精神和较强的教学科研能力。</w:t>
      </w:r>
    </w:p>
    <w:p>
      <w:pPr>
        <w:numPr>
          <w:ilvl w:val="0"/>
          <w:numId w:val="1"/>
        </w:numPr>
        <w:ind w:firstLine="31680" w:firstLineChars="200"/>
        <w:rPr>
          <w:rFonts w:ascii="仿宋" w:hAnsi="仿宋" w:eastAsia="仿宋" w:cs="仿宋"/>
          <w:b/>
          <w:bCs/>
          <w:sz w:val="28"/>
          <w:szCs w:val="28"/>
        </w:rPr>
      </w:pPr>
      <w:r>
        <w:rPr>
          <w:rFonts w:hint="eastAsia" w:ascii="仿宋" w:hAnsi="仿宋" w:eastAsia="仿宋" w:cs="仿宋"/>
          <w:b/>
          <w:bCs/>
          <w:sz w:val="28"/>
          <w:szCs w:val="28"/>
        </w:rPr>
        <w:t>招聘岗位</w:t>
      </w:r>
    </w:p>
    <w:tbl>
      <w:tblPr>
        <w:tblStyle w:val="11"/>
        <w:tblW w:w="9419" w:type="dxa"/>
        <w:tblInd w:w="-8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889"/>
        <w:gridCol w:w="1003"/>
        <w:gridCol w:w="1567"/>
        <w:gridCol w:w="2069"/>
        <w:gridCol w:w="853"/>
        <w:gridCol w:w="777"/>
        <w:gridCol w:w="767"/>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40" w:type="dxa"/>
            <w:vAlign w:val="center"/>
          </w:tcPr>
          <w:p>
            <w:pPr>
              <w:adjustRightInd w:val="0"/>
              <w:snapToGrid w:val="0"/>
              <w:jc w:val="center"/>
              <w:rPr>
                <w:rFonts w:ascii="仿宋" w:hAnsi="仿宋" w:eastAsia="仿宋" w:cs="仿宋"/>
                <w:b/>
                <w:bCs/>
                <w:sz w:val="28"/>
                <w:szCs w:val="28"/>
              </w:rPr>
            </w:pPr>
            <w:r>
              <w:rPr>
                <w:rFonts w:ascii="??_GB2312" w:eastAsia="Times New Roman" w:cs="??_GB2312"/>
                <w:bCs/>
                <w:sz w:val="24"/>
                <w:szCs w:val="24"/>
              </w:rPr>
              <w:t>序号</w:t>
            </w:r>
          </w:p>
        </w:tc>
        <w:tc>
          <w:tcPr>
            <w:tcW w:w="889" w:type="dxa"/>
            <w:vAlign w:val="center"/>
          </w:tcPr>
          <w:p>
            <w:pPr>
              <w:adjustRightInd w:val="0"/>
              <w:snapToGrid w:val="0"/>
              <w:jc w:val="center"/>
              <w:rPr>
                <w:rFonts w:ascii="仿宋" w:hAnsi="仿宋" w:eastAsia="仿宋" w:cs="仿宋"/>
                <w:b/>
                <w:bCs/>
                <w:sz w:val="28"/>
                <w:szCs w:val="28"/>
              </w:rPr>
            </w:pPr>
            <w:r>
              <w:rPr>
                <w:rFonts w:ascii="??_GB2312" w:eastAsia="Times New Roman" w:cs="??_GB2312"/>
                <w:bCs/>
                <w:sz w:val="24"/>
                <w:szCs w:val="24"/>
              </w:rPr>
              <w:t>系部</w:t>
            </w:r>
          </w:p>
        </w:tc>
        <w:tc>
          <w:tcPr>
            <w:tcW w:w="1003" w:type="dxa"/>
            <w:shd w:val="clear" w:color="000000" w:fill="FFFFFF"/>
            <w:vAlign w:val="center"/>
          </w:tcPr>
          <w:p>
            <w:pPr>
              <w:adjustRightInd w:val="0"/>
              <w:snapToGrid w:val="0"/>
              <w:jc w:val="center"/>
              <w:rPr>
                <w:rFonts w:ascii="仿宋" w:hAnsi="仿宋" w:eastAsia="仿宋" w:cs="仿宋"/>
                <w:b/>
                <w:bCs/>
                <w:sz w:val="28"/>
                <w:szCs w:val="28"/>
              </w:rPr>
            </w:pPr>
            <w:r>
              <w:rPr>
                <w:rFonts w:ascii="??_GB2312" w:eastAsia="Times New Roman" w:cs="??_GB2312"/>
                <w:bCs/>
                <w:sz w:val="24"/>
                <w:szCs w:val="24"/>
              </w:rPr>
              <w:t>招聘专业</w:t>
            </w:r>
          </w:p>
        </w:tc>
        <w:tc>
          <w:tcPr>
            <w:tcW w:w="1567" w:type="dxa"/>
            <w:shd w:val="clear" w:color="000000" w:fill="FFFFFF"/>
            <w:vAlign w:val="center"/>
          </w:tcPr>
          <w:p>
            <w:pPr>
              <w:adjustRightInd w:val="0"/>
              <w:snapToGrid w:val="0"/>
              <w:jc w:val="center"/>
              <w:rPr>
                <w:rFonts w:ascii="仿宋" w:hAnsi="仿宋" w:eastAsia="仿宋" w:cs="仿宋"/>
                <w:b/>
                <w:bCs/>
                <w:sz w:val="28"/>
                <w:szCs w:val="28"/>
              </w:rPr>
            </w:pPr>
            <w:r>
              <w:rPr>
                <w:rFonts w:ascii="??_GB2312" w:eastAsia="Times New Roman" w:cs="??_GB2312"/>
                <w:bCs/>
                <w:sz w:val="24"/>
                <w:szCs w:val="24"/>
              </w:rPr>
              <w:t>担任课程方向</w:t>
            </w:r>
          </w:p>
        </w:tc>
        <w:tc>
          <w:tcPr>
            <w:tcW w:w="2069" w:type="dxa"/>
            <w:shd w:val="clear" w:color="000000" w:fill="FFFFFF"/>
            <w:vAlign w:val="center"/>
          </w:tcPr>
          <w:p>
            <w:pPr>
              <w:adjustRightInd w:val="0"/>
              <w:snapToGrid w:val="0"/>
              <w:jc w:val="center"/>
              <w:rPr>
                <w:rFonts w:ascii="仿宋" w:hAnsi="仿宋" w:eastAsia="仿宋" w:cs="仿宋"/>
                <w:b/>
                <w:bCs/>
                <w:sz w:val="28"/>
                <w:szCs w:val="28"/>
              </w:rPr>
            </w:pPr>
            <w:r>
              <w:rPr>
                <w:rFonts w:ascii="??_GB2312" w:eastAsia="Times New Roman" w:cs="??_GB2312"/>
                <w:bCs/>
                <w:sz w:val="24"/>
                <w:szCs w:val="24"/>
              </w:rPr>
              <w:t>学历/学位/职称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引进境内教师人数</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引进台湾教师人数</w:t>
            </w:r>
          </w:p>
        </w:tc>
        <w:tc>
          <w:tcPr>
            <w:tcW w:w="76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岗位需求联系方式</w:t>
            </w:r>
          </w:p>
        </w:tc>
        <w:tc>
          <w:tcPr>
            <w:tcW w:w="754"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待遇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0"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w:t>
            </w:r>
          </w:p>
        </w:tc>
        <w:tc>
          <w:tcPr>
            <w:tcW w:w="88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英语系</w:t>
            </w: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英语</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高级英语阅读与写作、综合英语等方向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博士研究生或高校、行业副高以上职称</w:t>
            </w:r>
          </w:p>
        </w:tc>
        <w:tc>
          <w:tcPr>
            <w:tcW w:w="853" w:type="dxa"/>
            <w:shd w:val="clear" w:color="000000" w:fill="FFFFFF"/>
            <w:vAlign w:val="center"/>
          </w:tcPr>
          <w:p>
            <w:pPr>
              <w:adjustRightInd w:val="0"/>
              <w:snapToGrid w:val="0"/>
              <w:jc w:val="center"/>
              <w:rPr>
                <w:rFonts w:ascii="仿宋" w:hAnsi="仿宋" w:eastAsia="仿宋" w:cs="仿宋"/>
                <w:b/>
                <w:bCs/>
                <w:sz w:val="28"/>
                <w:szCs w:val="28"/>
              </w:rPr>
            </w:pPr>
            <w:r>
              <w:rPr>
                <w:rFonts w:ascii="仿宋" w:hAnsi="仿宋" w:eastAsia="仿宋" w:cs="仿宋"/>
                <w:b/>
                <w:bCs/>
                <w:sz w:val="28"/>
                <w:szCs w:val="28"/>
              </w:rPr>
              <w:t>1</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w:t>
            </w:r>
          </w:p>
        </w:tc>
        <w:tc>
          <w:tcPr>
            <w:tcW w:w="76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林主任</w:t>
            </w:r>
          </w:p>
          <w:p>
            <w:pPr>
              <w:adjustRightInd w:val="0"/>
              <w:snapToGrid w:val="0"/>
              <w:jc w:val="center"/>
              <w:rPr>
                <w:rFonts w:ascii="??_GB2312" w:eastAsia="Times New Roman" w:cs="??_GB2312"/>
                <w:bCs/>
                <w:sz w:val="24"/>
                <w:szCs w:val="24"/>
              </w:rPr>
            </w:pPr>
            <w:r>
              <w:rPr>
                <w:rFonts w:ascii="??_GB2312" w:eastAsia="Times New Roman" w:cs="??_GB2312"/>
                <w:bCs/>
                <w:sz w:val="24"/>
                <w:szCs w:val="24"/>
              </w:rPr>
              <w:t>0591-27561118</w:t>
            </w:r>
          </w:p>
        </w:tc>
        <w:tc>
          <w:tcPr>
            <w:tcW w:w="754" w:type="dxa"/>
            <w:vMerge w:val="restart"/>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1、硕士研究生学历，年薪不低于7万；</w:t>
            </w:r>
          </w:p>
          <w:p>
            <w:pPr>
              <w:adjustRightInd w:val="0"/>
              <w:snapToGrid w:val="0"/>
              <w:jc w:val="center"/>
              <w:rPr>
                <w:rFonts w:ascii="??_GB2312" w:eastAsia="Times New Roman" w:cs="??_GB2312"/>
                <w:bCs/>
                <w:sz w:val="24"/>
                <w:szCs w:val="24"/>
              </w:rPr>
            </w:pPr>
            <w:r>
              <w:rPr>
                <w:rFonts w:ascii="??_GB2312" w:eastAsia="Times New Roman" w:cs="??_GB2312"/>
                <w:bCs/>
                <w:sz w:val="24"/>
                <w:szCs w:val="24"/>
              </w:rPr>
              <w:t>2、中级职称具备任教经验，年薪不低于8万；</w:t>
            </w:r>
          </w:p>
          <w:p>
            <w:pPr>
              <w:adjustRightInd w:val="0"/>
              <w:snapToGrid w:val="0"/>
              <w:jc w:val="center"/>
              <w:rPr>
                <w:rFonts w:ascii="??_GB2312" w:eastAsia="Times New Roman" w:cs="??_GB2312"/>
                <w:bCs/>
                <w:sz w:val="24"/>
                <w:szCs w:val="24"/>
              </w:rPr>
            </w:pPr>
            <w:r>
              <w:rPr>
                <w:rFonts w:ascii="??_GB2312" w:eastAsia="Times New Roman" w:cs="??_GB2312"/>
                <w:bCs/>
                <w:sz w:val="24"/>
                <w:szCs w:val="24"/>
              </w:rPr>
              <w:t>3、副高职称或者博士学历，年薪不低于12万，具体面议；</w:t>
            </w:r>
          </w:p>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5" w:hRule="atLeast"/>
        </w:trPr>
        <w:tc>
          <w:tcPr>
            <w:tcW w:w="740" w:type="dxa"/>
            <w:vMerge w:val="restart"/>
            <w:vAlign w:val="center"/>
          </w:tcPr>
          <w:p>
            <w:pPr>
              <w:adjustRightInd w:val="0"/>
              <w:snapToGrid w:val="0"/>
              <w:jc w:val="center"/>
              <w:rPr>
                <w:rFonts w:ascii="仿宋" w:hAnsi="仿宋" w:eastAsia="仿宋" w:cs="仿宋"/>
                <w:b/>
                <w:bCs/>
                <w:sz w:val="28"/>
                <w:szCs w:val="28"/>
              </w:rPr>
            </w:pPr>
            <w:r>
              <w:rPr>
                <w:rFonts w:ascii="??_GB2312" w:eastAsia="Times New Roman" w:cs="??_GB2312"/>
                <w:bCs/>
                <w:sz w:val="24"/>
                <w:szCs w:val="24"/>
              </w:rPr>
              <w:t>2</w:t>
            </w:r>
          </w:p>
        </w:tc>
        <w:tc>
          <w:tcPr>
            <w:tcW w:w="889" w:type="dxa"/>
            <w:vMerge w:val="restart"/>
            <w:vAlign w:val="center"/>
          </w:tcPr>
          <w:p>
            <w:pPr>
              <w:adjustRightInd w:val="0"/>
              <w:snapToGrid w:val="0"/>
              <w:jc w:val="center"/>
              <w:rPr>
                <w:rFonts w:ascii="仿宋" w:hAnsi="仿宋" w:eastAsia="仿宋" w:cs="仿宋"/>
                <w:b/>
                <w:bCs/>
                <w:sz w:val="28"/>
                <w:szCs w:val="28"/>
              </w:rPr>
            </w:pPr>
            <w:r>
              <w:rPr>
                <w:rFonts w:ascii="??_GB2312" w:eastAsia="Times New Roman" w:cs="??_GB2312"/>
                <w:bCs/>
                <w:sz w:val="24"/>
                <w:szCs w:val="24"/>
              </w:rPr>
              <w:t>亚欧语系</w:t>
            </w: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法语</w:t>
            </w:r>
          </w:p>
        </w:tc>
        <w:tc>
          <w:tcPr>
            <w:tcW w:w="1567" w:type="dxa"/>
            <w:vAlign w:val="center"/>
          </w:tcPr>
          <w:p>
            <w:pPr>
              <w:adjustRightInd w:val="0"/>
              <w:snapToGrid w:val="0"/>
              <w:jc w:val="center"/>
              <w:rPr>
                <w:rFonts w:ascii="仿宋" w:hAnsi="仿宋" w:eastAsia="仿宋" w:cs="仿宋"/>
                <w:b/>
                <w:bCs/>
                <w:sz w:val="28"/>
                <w:szCs w:val="28"/>
              </w:rPr>
            </w:pPr>
            <w:r>
              <w:rPr>
                <w:rFonts w:ascii="??_GB2312" w:eastAsia="Times New Roman" w:cs="??_GB2312"/>
                <w:bCs/>
                <w:sz w:val="24"/>
                <w:szCs w:val="24"/>
              </w:rPr>
              <w:t>法语语法、法语笔译、高级法语等方向</w:t>
            </w:r>
          </w:p>
        </w:tc>
        <w:tc>
          <w:tcPr>
            <w:tcW w:w="2069" w:type="dxa"/>
            <w:vAlign w:val="center"/>
          </w:tcPr>
          <w:p>
            <w:pPr>
              <w:adjustRightInd w:val="0"/>
              <w:snapToGrid w:val="0"/>
              <w:jc w:val="center"/>
              <w:rPr>
                <w:rFonts w:ascii="仿宋" w:hAnsi="仿宋" w:eastAsia="仿宋" w:cs="仿宋"/>
                <w:b/>
                <w:bCs/>
                <w:sz w:val="28"/>
                <w:szCs w:val="28"/>
              </w:rPr>
            </w:pPr>
            <w:r>
              <w:rPr>
                <w:rFonts w:ascii="??_GB2312" w:eastAsia="Times New Roman" w:cs="??_GB2312"/>
                <w:bCs/>
                <w:sz w:val="24"/>
                <w:szCs w:val="24"/>
              </w:rPr>
              <w:t>博士研究生或高校、行业副高以上职称</w:t>
            </w:r>
          </w:p>
        </w:tc>
        <w:tc>
          <w:tcPr>
            <w:tcW w:w="853" w:type="dxa"/>
            <w:shd w:val="clear" w:color="000000" w:fill="FFFFFF"/>
            <w:vAlign w:val="center"/>
          </w:tcPr>
          <w:p>
            <w:pPr>
              <w:adjustRightInd w:val="0"/>
              <w:snapToGrid w:val="0"/>
              <w:jc w:val="center"/>
              <w:rPr>
                <w:rFonts w:ascii="仿宋" w:hAnsi="仿宋" w:eastAsia="仿宋" w:cs="仿宋"/>
                <w:b/>
                <w:bCs/>
                <w:sz w:val="28"/>
                <w:szCs w:val="28"/>
              </w:rPr>
            </w:pPr>
            <w:r>
              <w:rPr>
                <w:rFonts w:ascii="仿宋" w:hAnsi="仿宋" w:eastAsia="仿宋" w:cs="仿宋"/>
                <w:b/>
                <w:bCs/>
                <w:sz w:val="28"/>
                <w:szCs w:val="28"/>
              </w:rPr>
              <w:t>1</w:t>
            </w:r>
          </w:p>
        </w:tc>
        <w:tc>
          <w:tcPr>
            <w:tcW w:w="777" w:type="dxa"/>
            <w:shd w:val="clear" w:color="000000" w:fill="FFFFFF"/>
            <w:vAlign w:val="center"/>
          </w:tcPr>
          <w:p>
            <w:pPr>
              <w:adjustRightInd w:val="0"/>
              <w:snapToGrid w:val="0"/>
              <w:jc w:val="center"/>
              <w:rPr>
                <w:rFonts w:ascii="仿宋" w:hAnsi="仿宋" w:eastAsia="仿宋" w:cs="仿宋"/>
                <w:b/>
                <w:bCs/>
                <w:sz w:val="28"/>
                <w:szCs w:val="28"/>
              </w:rPr>
            </w:pPr>
            <w:r>
              <w:rPr>
                <w:rFonts w:ascii="??_GB2312" w:eastAsia="Times New Roman" w:cs="??_GB2312"/>
                <w:bCs/>
                <w:sz w:val="24"/>
                <w:szCs w:val="24"/>
              </w:rPr>
              <w:t>1</w:t>
            </w:r>
          </w:p>
        </w:tc>
        <w:tc>
          <w:tcPr>
            <w:tcW w:w="767" w:type="dxa"/>
            <w:vMerge w:val="restart"/>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陈主任</w:t>
            </w:r>
          </w:p>
          <w:p>
            <w:pPr>
              <w:adjustRightInd w:val="0"/>
              <w:snapToGrid w:val="0"/>
              <w:jc w:val="center"/>
              <w:rPr>
                <w:rFonts w:ascii="??_GB2312" w:eastAsia="Times New Roman" w:cs="??_GB2312"/>
                <w:bCs/>
                <w:sz w:val="24"/>
                <w:szCs w:val="24"/>
              </w:rPr>
            </w:pPr>
            <w:r>
              <w:rPr>
                <w:rFonts w:ascii="??_GB2312" w:eastAsia="Times New Roman" w:cs="??_GB2312"/>
                <w:bCs/>
                <w:sz w:val="24"/>
                <w:szCs w:val="24"/>
              </w:rPr>
              <w:t>0591-27561119</w:t>
            </w: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5" w:hRule="atLeast"/>
        </w:trPr>
        <w:tc>
          <w:tcPr>
            <w:tcW w:w="740" w:type="dxa"/>
            <w:vMerge w:val="continue"/>
            <w:vAlign w:val="center"/>
          </w:tcPr>
          <w:p>
            <w:pPr>
              <w:adjustRightInd w:val="0"/>
              <w:snapToGrid w:val="0"/>
              <w:jc w:val="center"/>
              <w:rPr>
                <w:rFonts w:ascii="??_GB2312" w:eastAsia="Times New Roman" w:cs="??_GB2312"/>
                <w:bCs/>
                <w:sz w:val="24"/>
                <w:szCs w:val="24"/>
              </w:rPr>
            </w:pPr>
          </w:p>
        </w:tc>
        <w:tc>
          <w:tcPr>
            <w:tcW w:w="889" w:type="dxa"/>
            <w:vMerge w:val="continue"/>
            <w:vAlign w:val="center"/>
          </w:tcPr>
          <w:p>
            <w:pPr>
              <w:adjustRightInd w:val="0"/>
              <w:snapToGrid w:val="0"/>
              <w:jc w:val="center"/>
              <w:rPr>
                <w:rFonts w:ascii="??_GB2312" w:eastAsia="Times New Roman" w:cs="??_GB2312"/>
                <w:bCs/>
                <w:sz w:val="24"/>
                <w:szCs w:val="24"/>
              </w:rPr>
            </w:pP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日语</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日语写作、日语笔译、翻译理论等方向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博士研究生或高校、行业副高以上职称</w:t>
            </w:r>
          </w:p>
        </w:tc>
        <w:tc>
          <w:tcPr>
            <w:tcW w:w="853" w:type="dxa"/>
            <w:shd w:val="clear" w:color="000000" w:fill="FFFFFF"/>
            <w:vAlign w:val="center"/>
          </w:tcPr>
          <w:p>
            <w:pPr>
              <w:adjustRightInd w:val="0"/>
              <w:snapToGrid w:val="0"/>
              <w:jc w:val="center"/>
              <w:rPr>
                <w:rFonts w:ascii="仿宋" w:hAnsi="仿宋" w:eastAsia="仿宋" w:cs="仿宋"/>
                <w:b/>
                <w:bCs/>
                <w:sz w:val="28"/>
                <w:szCs w:val="28"/>
              </w:rPr>
            </w:pPr>
            <w:r>
              <w:rPr>
                <w:rFonts w:ascii="仿宋" w:hAnsi="仿宋" w:eastAsia="仿宋" w:cs="仿宋"/>
                <w:b/>
                <w:bCs/>
                <w:sz w:val="28"/>
                <w:szCs w:val="28"/>
              </w:rPr>
              <w:t>1</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w:t>
            </w:r>
          </w:p>
        </w:tc>
        <w:tc>
          <w:tcPr>
            <w:tcW w:w="767" w:type="dxa"/>
            <w:vMerge w:val="continue"/>
            <w:shd w:val="clear" w:color="000000" w:fill="FFFFFF"/>
            <w:vAlign w:val="center"/>
          </w:tcPr>
          <w:p>
            <w:pPr>
              <w:adjustRightInd w:val="0"/>
              <w:snapToGrid w:val="0"/>
              <w:jc w:val="center"/>
              <w:rPr>
                <w:rFonts w:ascii="??_GB2312" w:eastAsia="Times New Roman" w:cs="??_GB2312"/>
                <w:bCs/>
                <w:sz w:val="24"/>
                <w:szCs w:val="24"/>
              </w:rPr>
            </w:pP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0"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3</w:t>
            </w:r>
          </w:p>
        </w:tc>
        <w:tc>
          <w:tcPr>
            <w:tcW w:w="889"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经贸系</w:t>
            </w: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经济统计学</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统计学</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6</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2</w:t>
            </w:r>
          </w:p>
        </w:tc>
        <w:tc>
          <w:tcPr>
            <w:tcW w:w="767" w:type="dxa"/>
            <w:vMerge w:val="restart"/>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陈主任</w:t>
            </w:r>
          </w:p>
          <w:p>
            <w:pPr>
              <w:adjustRightInd w:val="0"/>
              <w:snapToGrid w:val="0"/>
              <w:jc w:val="center"/>
              <w:rPr>
                <w:rFonts w:ascii="??_GB2312" w:eastAsia="Times New Roman" w:cs="??_GB2312"/>
                <w:bCs/>
                <w:sz w:val="24"/>
                <w:szCs w:val="24"/>
              </w:rPr>
            </w:pPr>
            <w:r>
              <w:rPr>
                <w:rFonts w:ascii="??_GB2312" w:eastAsia="Times New Roman" w:cs="??_GB2312"/>
                <w:bCs/>
                <w:sz w:val="24"/>
                <w:szCs w:val="24"/>
              </w:rPr>
              <w:t>0591-27561177</w:t>
            </w: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0" w:type="dxa"/>
            <w:vMerge w:val="continue"/>
            <w:vAlign w:val="center"/>
          </w:tcPr>
          <w:p>
            <w:pPr>
              <w:adjustRightInd w:val="0"/>
              <w:snapToGrid w:val="0"/>
              <w:jc w:val="center"/>
              <w:rPr>
                <w:rFonts w:ascii="??_GB2312" w:eastAsia="Times New Roman" w:cs="??_GB2312"/>
                <w:bCs/>
                <w:sz w:val="24"/>
                <w:szCs w:val="24"/>
              </w:rPr>
            </w:pPr>
          </w:p>
        </w:tc>
        <w:tc>
          <w:tcPr>
            <w:tcW w:w="889" w:type="dxa"/>
            <w:vMerge w:val="continue"/>
            <w:vAlign w:val="center"/>
          </w:tcPr>
          <w:p>
            <w:pPr>
              <w:adjustRightInd w:val="0"/>
              <w:snapToGrid w:val="0"/>
              <w:jc w:val="center"/>
              <w:rPr>
                <w:rFonts w:ascii="??_GB2312" w:eastAsia="Times New Roman" w:cs="??_GB2312"/>
                <w:bCs/>
                <w:sz w:val="24"/>
                <w:szCs w:val="24"/>
              </w:rPr>
            </w:pP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国际经济与贸易</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国际经济理论、开放性经济、自贸区研究等方向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硕士研究生或高校、行业中级以上职称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4</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2</w:t>
            </w:r>
          </w:p>
        </w:tc>
        <w:tc>
          <w:tcPr>
            <w:tcW w:w="767" w:type="dxa"/>
            <w:vMerge w:val="continue"/>
            <w:shd w:val="clear" w:color="000000" w:fill="FFFFFF"/>
            <w:vAlign w:val="center"/>
          </w:tcPr>
          <w:p>
            <w:pPr>
              <w:adjustRightInd w:val="0"/>
              <w:snapToGrid w:val="0"/>
              <w:jc w:val="center"/>
              <w:rPr>
                <w:rFonts w:ascii="??_GB2312" w:eastAsia="Times New Roman" w:cs="??_GB2312"/>
                <w:bCs/>
                <w:sz w:val="24"/>
                <w:szCs w:val="24"/>
              </w:rPr>
            </w:pP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 w:hRule="atLeast"/>
        </w:trPr>
        <w:tc>
          <w:tcPr>
            <w:tcW w:w="740"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4</w:t>
            </w:r>
          </w:p>
        </w:tc>
        <w:tc>
          <w:tcPr>
            <w:tcW w:w="889"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金融系</w:t>
            </w: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投资学</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投资学、投资银行学、金融市场学等方向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5</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w:t>
            </w:r>
          </w:p>
        </w:tc>
        <w:tc>
          <w:tcPr>
            <w:tcW w:w="767" w:type="dxa"/>
            <w:vMerge w:val="restart"/>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陈主任</w:t>
            </w:r>
          </w:p>
          <w:p>
            <w:pPr>
              <w:adjustRightInd w:val="0"/>
              <w:snapToGrid w:val="0"/>
              <w:jc w:val="center"/>
              <w:rPr>
                <w:rFonts w:ascii="??_GB2312" w:eastAsia="Times New Roman" w:cs="??_GB2312"/>
                <w:bCs/>
                <w:sz w:val="24"/>
                <w:szCs w:val="24"/>
              </w:rPr>
            </w:pPr>
            <w:r>
              <w:rPr>
                <w:rFonts w:ascii="??_GB2312" w:eastAsia="Times New Roman" w:cs="??_GB2312"/>
                <w:bCs/>
                <w:sz w:val="24"/>
                <w:szCs w:val="24"/>
              </w:rPr>
              <w:t>0591-27561359</w:t>
            </w: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3" w:hRule="atLeast"/>
        </w:trPr>
        <w:tc>
          <w:tcPr>
            <w:tcW w:w="740" w:type="dxa"/>
            <w:vMerge w:val="continue"/>
            <w:vAlign w:val="center"/>
          </w:tcPr>
          <w:p>
            <w:pPr>
              <w:adjustRightInd w:val="0"/>
              <w:snapToGrid w:val="0"/>
              <w:jc w:val="center"/>
            </w:pPr>
          </w:p>
        </w:tc>
        <w:tc>
          <w:tcPr>
            <w:tcW w:w="889" w:type="dxa"/>
            <w:vMerge w:val="continue"/>
            <w:vAlign w:val="center"/>
          </w:tcPr>
          <w:p>
            <w:pPr>
              <w:adjustRightInd w:val="0"/>
              <w:snapToGrid w:val="0"/>
              <w:jc w:val="center"/>
            </w:pP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金融学</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金融工程学、应用经济学、数理金融等方向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5</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w:t>
            </w:r>
          </w:p>
        </w:tc>
        <w:tc>
          <w:tcPr>
            <w:tcW w:w="767" w:type="dxa"/>
            <w:vMerge w:val="continue"/>
            <w:shd w:val="clear" w:color="000000" w:fill="FFFFFF"/>
            <w:vAlign w:val="center"/>
          </w:tcPr>
          <w:p>
            <w:pPr>
              <w:adjustRightInd w:val="0"/>
              <w:snapToGrid w:val="0"/>
              <w:jc w:val="center"/>
              <w:rPr>
                <w:rFonts w:ascii="??_GB2312" w:eastAsia="Times New Roman" w:cs="??_GB2312"/>
                <w:bCs/>
                <w:sz w:val="24"/>
                <w:szCs w:val="24"/>
              </w:rPr>
            </w:pP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740"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5</w:t>
            </w:r>
          </w:p>
        </w:tc>
        <w:tc>
          <w:tcPr>
            <w:tcW w:w="88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物流系</w:t>
            </w: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物流管理</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国际物流、物流经济学、物流信息管理等方向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硕士研究生或高校、行业副高以上职称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3</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w:t>
            </w:r>
          </w:p>
        </w:tc>
        <w:tc>
          <w:tcPr>
            <w:tcW w:w="76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安主任</w:t>
            </w:r>
          </w:p>
          <w:p>
            <w:pPr>
              <w:adjustRightInd w:val="0"/>
              <w:snapToGrid w:val="0"/>
              <w:jc w:val="center"/>
              <w:rPr>
                <w:rFonts w:ascii="??_GB2312" w:eastAsia="Times New Roman" w:cs="??_GB2312"/>
                <w:bCs/>
                <w:sz w:val="24"/>
                <w:szCs w:val="24"/>
              </w:rPr>
            </w:pPr>
            <w:r>
              <w:rPr>
                <w:rFonts w:ascii="??_GB2312" w:eastAsia="Times New Roman" w:cs="??_GB2312"/>
                <w:bCs/>
                <w:sz w:val="24"/>
                <w:szCs w:val="24"/>
              </w:rPr>
              <w:t>0591-27561136</w:t>
            </w: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trPr>
        <w:tc>
          <w:tcPr>
            <w:tcW w:w="740"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6</w:t>
            </w:r>
          </w:p>
        </w:tc>
        <w:tc>
          <w:tcPr>
            <w:tcW w:w="88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信息系</w:t>
            </w: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信息管理与信息系统</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管理信息系统、信息管理资源等方向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硕士研究生或高校、企业副高以上职称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2</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w:t>
            </w:r>
          </w:p>
        </w:tc>
        <w:tc>
          <w:tcPr>
            <w:tcW w:w="76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谢主任</w:t>
            </w:r>
          </w:p>
          <w:p>
            <w:pPr>
              <w:adjustRightInd w:val="0"/>
              <w:snapToGrid w:val="0"/>
              <w:jc w:val="center"/>
              <w:rPr>
                <w:rFonts w:ascii="??_GB2312" w:eastAsia="Times New Roman" w:cs="??_GB2312"/>
                <w:bCs/>
                <w:sz w:val="24"/>
                <w:szCs w:val="24"/>
              </w:rPr>
            </w:pPr>
            <w:r>
              <w:rPr>
                <w:rFonts w:ascii="??_GB2312" w:eastAsia="Times New Roman" w:cs="??_GB2312"/>
                <w:bCs/>
                <w:sz w:val="24"/>
                <w:szCs w:val="24"/>
              </w:rPr>
              <w:t>0591-27561138</w:t>
            </w: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0"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7</w:t>
            </w:r>
          </w:p>
        </w:tc>
        <w:tc>
          <w:tcPr>
            <w:tcW w:w="889"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工商系</w:t>
            </w: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审计专业</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财务审计、财务会计、管理审计等方向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硕士研究生或高校、企业行业中级以上职称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5</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w:t>
            </w:r>
          </w:p>
        </w:tc>
        <w:tc>
          <w:tcPr>
            <w:tcW w:w="767" w:type="dxa"/>
            <w:vMerge w:val="restart"/>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刘主任</w:t>
            </w:r>
          </w:p>
          <w:p>
            <w:pPr>
              <w:adjustRightInd w:val="0"/>
              <w:snapToGrid w:val="0"/>
              <w:jc w:val="center"/>
              <w:rPr>
                <w:rFonts w:ascii="??_GB2312" w:eastAsia="Times New Roman" w:cs="??_GB2312"/>
                <w:bCs/>
                <w:sz w:val="24"/>
                <w:szCs w:val="24"/>
              </w:rPr>
            </w:pPr>
            <w:r>
              <w:rPr>
                <w:rFonts w:ascii="??_GB2312" w:eastAsia="Times New Roman" w:cs="??_GB2312"/>
                <w:bCs/>
                <w:sz w:val="24"/>
                <w:szCs w:val="24"/>
              </w:rPr>
              <w:t>0591-27561135</w:t>
            </w: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740" w:type="dxa"/>
            <w:vMerge w:val="continue"/>
            <w:vAlign w:val="center"/>
          </w:tcPr>
          <w:p>
            <w:pPr>
              <w:adjustRightInd w:val="0"/>
              <w:snapToGrid w:val="0"/>
              <w:jc w:val="center"/>
              <w:rPr>
                <w:rFonts w:ascii="??_GB2312" w:eastAsia="Times New Roman" w:cs="??_GB2312"/>
                <w:bCs/>
                <w:sz w:val="24"/>
                <w:szCs w:val="24"/>
              </w:rPr>
            </w:pPr>
          </w:p>
        </w:tc>
        <w:tc>
          <w:tcPr>
            <w:tcW w:w="889" w:type="dxa"/>
            <w:vMerge w:val="continue"/>
            <w:vAlign w:val="center"/>
          </w:tcPr>
          <w:p>
            <w:pPr>
              <w:adjustRightInd w:val="0"/>
              <w:snapToGrid w:val="0"/>
              <w:jc w:val="center"/>
              <w:rPr>
                <w:rFonts w:ascii="??_GB2312" w:eastAsia="Times New Roman" w:cs="??_GB2312"/>
                <w:bCs/>
                <w:sz w:val="24"/>
                <w:szCs w:val="24"/>
              </w:rPr>
            </w:pP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资产评估</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财务管理、资产评估、经济法等方向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硕士研究生或高校、企业行业中级以上职称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4</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w:t>
            </w:r>
          </w:p>
        </w:tc>
        <w:tc>
          <w:tcPr>
            <w:tcW w:w="767" w:type="dxa"/>
            <w:vMerge w:val="continue"/>
            <w:shd w:val="clear" w:color="000000" w:fill="FFFFFF"/>
            <w:vAlign w:val="center"/>
          </w:tcPr>
          <w:p>
            <w:pPr>
              <w:adjustRightInd w:val="0"/>
              <w:snapToGrid w:val="0"/>
              <w:jc w:val="center"/>
              <w:rPr>
                <w:rFonts w:ascii="??_GB2312" w:eastAsia="Times New Roman" w:cs="??_GB2312"/>
                <w:bCs/>
                <w:sz w:val="24"/>
                <w:szCs w:val="24"/>
              </w:rPr>
            </w:pP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740" w:type="dxa"/>
            <w:vMerge w:val="continue"/>
            <w:vAlign w:val="center"/>
          </w:tcPr>
          <w:p>
            <w:pPr>
              <w:adjustRightInd w:val="0"/>
              <w:snapToGrid w:val="0"/>
              <w:jc w:val="center"/>
              <w:rPr>
                <w:rFonts w:ascii="??_GB2312" w:eastAsia="Times New Roman" w:cs="??_GB2312"/>
                <w:bCs/>
                <w:sz w:val="24"/>
                <w:szCs w:val="24"/>
              </w:rPr>
            </w:pPr>
          </w:p>
        </w:tc>
        <w:tc>
          <w:tcPr>
            <w:tcW w:w="889" w:type="dxa"/>
            <w:vMerge w:val="continue"/>
            <w:vAlign w:val="center"/>
          </w:tcPr>
          <w:p>
            <w:pPr>
              <w:adjustRightInd w:val="0"/>
              <w:snapToGrid w:val="0"/>
              <w:jc w:val="center"/>
              <w:rPr>
                <w:rFonts w:ascii="??_GB2312" w:eastAsia="Times New Roman" w:cs="??_GB2312"/>
                <w:bCs/>
                <w:sz w:val="24"/>
                <w:szCs w:val="24"/>
              </w:rPr>
            </w:pP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市场营销</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国际市场营销、消费者行为学等方向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博士研究生或高校、行业副高以上职称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2</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w:t>
            </w:r>
          </w:p>
        </w:tc>
        <w:tc>
          <w:tcPr>
            <w:tcW w:w="767" w:type="dxa"/>
            <w:vMerge w:val="continue"/>
            <w:shd w:val="clear" w:color="000000" w:fill="FFFFFF"/>
            <w:vAlign w:val="center"/>
          </w:tcPr>
          <w:p>
            <w:pPr>
              <w:adjustRightInd w:val="0"/>
              <w:snapToGrid w:val="0"/>
              <w:jc w:val="center"/>
              <w:rPr>
                <w:rFonts w:ascii="??_GB2312" w:eastAsia="Times New Roman" w:cs="??_GB2312"/>
                <w:bCs/>
                <w:sz w:val="24"/>
                <w:szCs w:val="24"/>
              </w:rPr>
            </w:pP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740"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8</w:t>
            </w:r>
          </w:p>
        </w:tc>
        <w:tc>
          <w:tcPr>
            <w:tcW w:w="889"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财会系</w:t>
            </w: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会计学</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财务会计、成本管理会计、审计学等方向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6</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2</w:t>
            </w:r>
          </w:p>
        </w:tc>
        <w:tc>
          <w:tcPr>
            <w:tcW w:w="767" w:type="dxa"/>
            <w:vMerge w:val="restart"/>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辛主任</w:t>
            </w:r>
          </w:p>
          <w:p>
            <w:pPr>
              <w:adjustRightInd w:val="0"/>
              <w:snapToGrid w:val="0"/>
              <w:jc w:val="center"/>
              <w:rPr>
                <w:rFonts w:ascii="??_GB2312" w:eastAsia="Times New Roman" w:cs="??_GB2312"/>
                <w:bCs/>
                <w:sz w:val="24"/>
                <w:szCs w:val="24"/>
              </w:rPr>
            </w:pPr>
            <w:r>
              <w:rPr>
                <w:rFonts w:ascii="??_GB2312" w:eastAsia="Times New Roman" w:cs="??_GB2312"/>
                <w:bCs/>
                <w:sz w:val="24"/>
                <w:szCs w:val="24"/>
              </w:rPr>
              <w:t>0591-27561507</w:t>
            </w: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trPr>
        <w:tc>
          <w:tcPr>
            <w:tcW w:w="740" w:type="dxa"/>
            <w:vMerge w:val="continue"/>
            <w:vAlign w:val="center"/>
          </w:tcPr>
          <w:p>
            <w:pPr>
              <w:adjustRightInd w:val="0"/>
              <w:snapToGrid w:val="0"/>
              <w:jc w:val="center"/>
              <w:rPr>
                <w:rFonts w:ascii="??_GB2312" w:eastAsia="Times New Roman" w:cs="??_GB2312"/>
                <w:bCs/>
                <w:sz w:val="24"/>
                <w:szCs w:val="24"/>
              </w:rPr>
            </w:pPr>
          </w:p>
        </w:tc>
        <w:tc>
          <w:tcPr>
            <w:tcW w:w="889" w:type="dxa"/>
            <w:vMerge w:val="continue"/>
            <w:vAlign w:val="center"/>
          </w:tcPr>
          <w:p>
            <w:pPr>
              <w:adjustRightInd w:val="0"/>
              <w:snapToGrid w:val="0"/>
              <w:jc w:val="center"/>
              <w:rPr>
                <w:rFonts w:ascii="??_GB2312" w:eastAsia="Times New Roman" w:cs="??_GB2312"/>
                <w:bCs/>
                <w:sz w:val="24"/>
                <w:szCs w:val="24"/>
              </w:rPr>
            </w:pP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财务管理</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财务会计、成本管理会计、金融市场学等方向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6</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2</w:t>
            </w:r>
          </w:p>
        </w:tc>
        <w:tc>
          <w:tcPr>
            <w:tcW w:w="767" w:type="dxa"/>
            <w:vMerge w:val="continue"/>
            <w:shd w:val="clear" w:color="000000" w:fill="FFFFFF"/>
            <w:vAlign w:val="center"/>
          </w:tcPr>
          <w:p>
            <w:pPr>
              <w:adjustRightInd w:val="0"/>
              <w:snapToGrid w:val="0"/>
              <w:jc w:val="center"/>
              <w:rPr>
                <w:rFonts w:ascii="??_GB2312" w:eastAsia="Times New Roman" w:cs="??_GB2312"/>
                <w:bCs/>
                <w:sz w:val="24"/>
                <w:szCs w:val="24"/>
              </w:rPr>
            </w:pP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740"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9</w:t>
            </w:r>
          </w:p>
        </w:tc>
        <w:tc>
          <w:tcPr>
            <w:tcW w:w="889"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工程系</w:t>
            </w: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工程造价</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建筑与装饰工程估价、安装工程估价等方向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7</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2</w:t>
            </w:r>
          </w:p>
        </w:tc>
        <w:tc>
          <w:tcPr>
            <w:tcW w:w="767" w:type="dxa"/>
            <w:vMerge w:val="restart"/>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陈主任</w:t>
            </w:r>
          </w:p>
          <w:p>
            <w:pPr>
              <w:adjustRightInd w:val="0"/>
              <w:snapToGrid w:val="0"/>
              <w:jc w:val="center"/>
              <w:rPr>
                <w:rFonts w:ascii="??_GB2312" w:eastAsia="Times New Roman" w:cs="??_GB2312"/>
                <w:bCs/>
                <w:sz w:val="24"/>
                <w:szCs w:val="24"/>
              </w:rPr>
            </w:pPr>
            <w:r>
              <w:rPr>
                <w:rFonts w:ascii="??_GB2312" w:eastAsia="Times New Roman" w:cs="??_GB2312"/>
                <w:bCs/>
                <w:sz w:val="24"/>
                <w:szCs w:val="24"/>
              </w:rPr>
              <w:t>0591-27561505</w:t>
            </w: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740" w:type="dxa"/>
            <w:vMerge w:val="continue"/>
            <w:vAlign w:val="center"/>
          </w:tcPr>
          <w:p>
            <w:pPr>
              <w:adjustRightInd w:val="0"/>
              <w:snapToGrid w:val="0"/>
              <w:jc w:val="center"/>
              <w:rPr>
                <w:rFonts w:ascii="??_GB2312" w:eastAsia="Times New Roman" w:cs="??_GB2312"/>
                <w:bCs/>
                <w:sz w:val="24"/>
                <w:szCs w:val="24"/>
              </w:rPr>
            </w:pPr>
          </w:p>
        </w:tc>
        <w:tc>
          <w:tcPr>
            <w:tcW w:w="889" w:type="dxa"/>
            <w:vMerge w:val="continue"/>
            <w:vAlign w:val="center"/>
          </w:tcPr>
          <w:p>
            <w:pPr>
              <w:adjustRightInd w:val="0"/>
              <w:snapToGrid w:val="0"/>
              <w:jc w:val="center"/>
              <w:rPr>
                <w:rFonts w:ascii="??_GB2312" w:eastAsia="Times New Roman" w:cs="??_GB2312"/>
                <w:bCs/>
                <w:sz w:val="24"/>
                <w:szCs w:val="24"/>
              </w:rPr>
            </w:pP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土木工程</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混凝土结构原理、房屋建筑学、工程估计等方向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博士研究生或高校、行业副高以上职称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3</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w:t>
            </w:r>
          </w:p>
        </w:tc>
        <w:tc>
          <w:tcPr>
            <w:tcW w:w="767" w:type="dxa"/>
            <w:vMerge w:val="continue"/>
            <w:shd w:val="clear" w:color="000000" w:fill="FFFFFF"/>
            <w:vAlign w:val="center"/>
          </w:tcPr>
          <w:p>
            <w:pPr>
              <w:adjustRightInd w:val="0"/>
              <w:snapToGrid w:val="0"/>
              <w:jc w:val="center"/>
              <w:rPr>
                <w:rFonts w:ascii="??_GB2312" w:eastAsia="Times New Roman" w:cs="??_GB2312"/>
                <w:bCs/>
                <w:sz w:val="24"/>
                <w:szCs w:val="24"/>
              </w:rPr>
            </w:pP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740" w:type="dxa"/>
            <w:vMerge w:val="continue"/>
            <w:vAlign w:val="center"/>
          </w:tcPr>
          <w:p>
            <w:pPr>
              <w:adjustRightInd w:val="0"/>
              <w:snapToGrid w:val="0"/>
              <w:jc w:val="center"/>
              <w:rPr>
                <w:rFonts w:ascii="??_GB2312" w:eastAsia="Times New Roman" w:cs="??_GB2312"/>
                <w:bCs/>
                <w:sz w:val="24"/>
                <w:szCs w:val="24"/>
              </w:rPr>
            </w:pPr>
          </w:p>
        </w:tc>
        <w:tc>
          <w:tcPr>
            <w:tcW w:w="889" w:type="dxa"/>
            <w:vMerge w:val="continue"/>
            <w:vAlign w:val="center"/>
          </w:tcPr>
          <w:p>
            <w:pPr>
              <w:adjustRightInd w:val="0"/>
              <w:snapToGrid w:val="0"/>
              <w:jc w:val="center"/>
              <w:rPr>
                <w:rFonts w:ascii="??_GB2312" w:eastAsia="Times New Roman" w:cs="??_GB2312"/>
                <w:bCs/>
                <w:sz w:val="24"/>
                <w:szCs w:val="24"/>
              </w:rPr>
            </w:pP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工程管理</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结构工程、岩土工程、工程项目管理等方向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3</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w:t>
            </w:r>
          </w:p>
        </w:tc>
        <w:tc>
          <w:tcPr>
            <w:tcW w:w="767" w:type="dxa"/>
            <w:vMerge w:val="continue"/>
            <w:shd w:val="clear" w:color="000000" w:fill="FFFFFF"/>
            <w:vAlign w:val="center"/>
          </w:tcPr>
          <w:p>
            <w:pPr>
              <w:adjustRightInd w:val="0"/>
              <w:snapToGrid w:val="0"/>
              <w:jc w:val="center"/>
              <w:rPr>
                <w:rFonts w:ascii="??_GB2312" w:eastAsia="Times New Roman" w:cs="??_GB2312"/>
                <w:bCs/>
                <w:sz w:val="24"/>
                <w:szCs w:val="24"/>
              </w:rPr>
            </w:pP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9" w:hRule="atLeast"/>
        </w:trPr>
        <w:tc>
          <w:tcPr>
            <w:tcW w:w="740"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10</w:t>
            </w:r>
          </w:p>
        </w:tc>
        <w:tc>
          <w:tcPr>
            <w:tcW w:w="889"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影视系</w:t>
            </w: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广播电视编导</w:t>
            </w:r>
          </w:p>
        </w:tc>
        <w:tc>
          <w:tcPr>
            <w:tcW w:w="1567" w:type="dxa"/>
            <w:vAlign w:val="center"/>
          </w:tcPr>
          <w:p>
            <w:pPr>
              <w:adjustRightInd w:val="0"/>
              <w:snapToGrid w:val="0"/>
              <w:jc w:val="center"/>
              <w:rPr>
                <w:rFonts w:ascii="宋体" w:cs="宋体"/>
                <w:bCs/>
                <w:sz w:val="24"/>
                <w:szCs w:val="24"/>
              </w:rPr>
            </w:pPr>
            <w:r>
              <w:rPr>
                <w:rFonts w:ascii="??_GB2312" w:eastAsia="Times New Roman" w:cs="??_GB2312"/>
                <w:bCs/>
                <w:sz w:val="24"/>
                <w:szCs w:val="24"/>
              </w:rPr>
              <w:t>DV创作训练、电视晚会编导、电视画面编辑</w:t>
            </w:r>
            <w:r>
              <w:rPr>
                <w:rFonts w:hint="eastAsia" w:ascii="宋体" w:hAnsi="宋体" w:cs="宋体"/>
                <w:bCs/>
                <w:sz w:val="24"/>
                <w:szCs w:val="24"/>
              </w:rPr>
              <w:t>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0</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2</w:t>
            </w:r>
          </w:p>
        </w:tc>
        <w:tc>
          <w:tcPr>
            <w:tcW w:w="767" w:type="dxa"/>
            <w:vMerge w:val="restart"/>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张主任</w:t>
            </w:r>
          </w:p>
          <w:p>
            <w:pPr>
              <w:adjustRightInd w:val="0"/>
              <w:snapToGrid w:val="0"/>
              <w:jc w:val="center"/>
              <w:rPr>
                <w:rFonts w:ascii="??_GB2312" w:eastAsia="Times New Roman" w:cs="??_GB2312"/>
                <w:bCs/>
                <w:sz w:val="24"/>
                <w:szCs w:val="24"/>
              </w:rPr>
            </w:pPr>
            <w:r>
              <w:rPr>
                <w:rFonts w:ascii="??_GB2312" w:eastAsia="Times New Roman" w:cs="??_GB2312"/>
                <w:bCs/>
                <w:sz w:val="24"/>
                <w:szCs w:val="24"/>
              </w:rPr>
              <w:t>0591-27561183</w:t>
            </w: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0" w:hRule="atLeast"/>
        </w:trPr>
        <w:tc>
          <w:tcPr>
            <w:tcW w:w="740" w:type="dxa"/>
            <w:vMerge w:val="continue"/>
            <w:vAlign w:val="center"/>
          </w:tcPr>
          <w:p>
            <w:pPr>
              <w:adjustRightInd w:val="0"/>
              <w:snapToGrid w:val="0"/>
              <w:jc w:val="center"/>
              <w:rPr>
                <w:rFonts w:ascii="??_GB2312" w:eastAsia="Times New Roman" w:cs="??_GB2312"/>
                <w:bCs/>
                <w:sz w:val="24"/>
                <w:szCs w:val="24"/>
              </w:rPr>
            </w:pPr>
          </w:p>
        </w:tc>
        <w:tc>
          <w:tcPr>
            <w:tcW w:w="889" w:type="dxa"/>
            <w:vMerge w:val="continue"/>
            <w:vAlign w:val="center"/>
          </w:tcPr>
          <w:p>
            <w:pPr>
              <w:adjustRightInd w:val="0"/>
              <w:snapToGrid w:val="0"/>
              <w:jc w:val="center"/>
              <w:rPr>
                <w:rFonts w:ascii="??_GB2312" w:eastAsia="Times New Roman" w:cs="??_GB2312"/>
                <w:bCs/>
                <w:sz w:val="24"/>
                <w:szCs w:val="24"/>
              </w:rPr>
            </w:pP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动画</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动画剧本写作、角色设计、动画运动规律等方向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0</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w:t>
            </w:r>
          </w:p>
        </w:tc>
        <w:tc>
          <w:tcPr>
            <w:tcW w:w="767" w:type="dxa"/>
            <w:vMerge w:val="continue"/>
            <w:shd w:val="clear" w:color="000000" w:fill="FFFFFF"/>
            <w:vAlign w:val="center"/>
          </w:tcPr>
          <w:p>
            <w:pPr>
              <w:adjustRightInd w:val="0"/>
              <w:snapToGrid w:val="0"/>
              <w:jc w:val="center"/>
              <w:rPr>
                <w:rFonts w:ascii="??_GB2312" w:eastAsia="Times New Roman" w:cs="??_GB2312"/>
                <w:bCs/>
                <w:sz w:val="24"/>
                <w:szCs w:val="24"/>
              </w:rPr>
            </w:pP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740"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11</w:t>
            </w:r>
          </w:p>
        </w:tc>
        <w:tc>
          <w:tcPr>
            <w:tcW w:w="889" w:type="dxa"/>
            <w:vMerge w:val="restart"/>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美术与设计系</w:t>
            </w: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环境艺术设计</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环境设计、室内设计、环境艺术等方向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3</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2</w:t>
            </w:r>
          </w:p>
        </w:tc>
        <w:tc>
          <w:tcPr>
            <w:tcW w:w="767" w:type="dxa"/>
            <w:vMerge w:val="restart"/>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郑主任</w:t>
            </w:r>
          </w:p>
          <w:p>
            <w:pPr>
              <w:adjustRightInd w:val="0"/>
              <w:snapToGrid w:val="0"/>
              <w:jc w:val="center"/>
              <w:rPr>
                <w:rFonts w:ascii="??_GB2312" w:eastAsia="Times New Roman" w:cs="??_GB2312"/>
                <w:bCs/>
                <w:sz w:val="24"/>
                <w:szCs w:val="24"/>
              </w:rPr>
            </w:pPr>
            <w:r>
              <w:rPr>
                <w:rFonts w:ascii="??_GB2312" w:eastAsia="Times New Roman" w:cs="??_GB2312"/>
                <w:bCs/>
                <w:sz w:val="24"/>
                <w:szCs w:val="24"/>
              </w:rPr>
              <w:t>0591-27561376</w:t>
            </w:r>
          </w:p>
          <w:p>
            <w:pPr>
              <w:rPr>
                <w:rFonts w:ascii="??_GB2312" w:eastAsia="Times New Roman" w:cs="??_GB2312"/>
                <w:sz w:val="24"/>
                <w:szCs w:val="24"/>
              </w:rPr>
            </w:pPr>
          </w:p>
          <w:p>
            <w:pPr>
              <w:rPr>
                <w:rFonts w:ascii="??_GB2312" w:eastAsia="Times New Roman" w:cs="??_GB2312"/>
                <w:sz w:val="24"/>
                <w:szCs w:val="24"/>
              </w:rPr>
            </w:pP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740" w:type="dxa"/>
            <w:vMerge w:val="continue"/>
            <w:vAlign w:val="center"/>
          </w:tcPr>
          <w:p>
            <w:pPr>
              <w:adjustRightInd w:val="0"/>
              <w:snapToGrid w:val="0"/>
              <w:jc w:val="center"/>
              <w:rPr>
                <w:rFonts w:ascii="??_GB2312" w:eastAsia="Times New Roman" w:cs="??_GB2312"/>
                <w:bCs/>
                <w:sz w:val="24"/>
                <w:szCs w:val="24"/>
              </w:rPr>
            </w:pPr>
          </w:p>
        </w:tc>
        <w:tc>
          <w:tcPr>
            <w:tcW w:w="889" w:type="dxa"/>
            <w:vMerge w:val="continue"/>
            <w:vAlign w:val="center"/>
          </w:tcPr>
          <w:p>
            <w:pPr>
              <w:adjustRightInd w:val="0"/>
              <w:snapToGrid w:val="0"/>
              <w:jc w:val="center"/>
              <w:rPr>
                <w:rFonts w:ascii="??_GB2312" w:eastAsia="Times New Roman" w:cs="??_GB2312"/>
                <w:bCs/>
                <w:sz w:val="24"/>
                <w:szCs w:val="24"/>
              </w:rPr>
            </w:pP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美术学</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艺术概论、艺术管理学等方向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博士研究生或高校、行业副高以上职称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0</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2</w:t>
            </w:r>
          </w:p>
        </w:tc>
        <w:tc>
          <w:tcPr>
            <w:tcW w:w="767" w:type="dxa"/>
            <w:vMerge w:val="continue"/>
            <w:shd w:val="clear" w:color="000000" w:fill="FFFFFF"/>
            <w:vAlign w:val="center"/>
          </w:tcPr>
          <w:p>
            <w:pPr>
              <w:adjustRightInd w:val="0"/>
              <w:snapToGrid w:val="0"/>
              <w:jc w:val="center"/>
              <w:rPr>
                <w:rFonts w:ascii="??_GB2312" w:eastAsia="Times New Roman" w:cs="??_GB2312"/>
                <w:bCs/>
                <w:sz w:val="24"/>
                <w:szCs w:val="24"/>
              </w:rPr>
            </w:pP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740" w:type="dxa"/>
            <w:vMerge w:val="continue"/>
            <w:vAlign w:val="center"/>
          </w:tcPr>
          <w:p>
            <w:pPr>
              <w:adjustRightInd w:val="0"/>
              <w:snapToGrid w:val="0"/>
              <w:jc w:val="center"/>
              <w:rPr>
                <w:rFonts w:ascii="??_GB2312" w:eastAsia="Times New Roman" w:cs="??_GB2312"/>
                <w:bCs/>
                <w:sz w:val="24"/>
                <w:szCs w:val="24"/>
              </w:rPr>
            </w:pPr>
          </w:p>
        </w:tc>
        <w:tc>
          <w:tcPr>
            <w:tcW w:w="889" w:type="dxa"/>
            <w:vMerge w:val="continue"/>
            <w:vAlign w:val="center"/>
          </w:tcPr>
          <w:p>
            <w:pPr>
              <w:adjustRightInd w:val="0"/>
              <w:snapToGrid w:val="0"/>
              <w:jc w:val="center"/>
              <w:rPr>
                <w:rFonts w:ascii="??_GB2312" w:eastAsia="Times New Roman" w:cs="??_GB2312"/>
                <w:bCs/>
                <w:sz w:val="24"/>
                <w:szCs w:val="24"/>
              </w:rPr>
            </w:pPr>
          </w:p>
        </w:tc>
        <w:tc>
          <w:tcPr>
            <w:tcW w:w="1003"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服装与服饰设计</w:t>
            </w:r>
          </w:p>
        </w:tc>
        <w:tc>
          <w:tcPr>
            <w:tcW w:w="1567"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服装设计、服装CAD等方向</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硕士研究生或高校、企业中级以上职称</w:t>
            </w:r>
          </w:p>
        </w:tc>
        <w:tc>
          <w:tcPr>
            <w:tcW w:w="853"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3</w:t>
            </w:r>
          </w:p>
        </w:tc>
        <w:tc>
          <w:tcPr>
            <w:tcW w:w="777" w:type="dxa"/>
            <w:shd w:val="clear" w:color="000000" w:fill="FFFFFF"/>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2</w:t>
            </w:r>
          </w:p>
        </w:tc>
        <w:tc>
          <w:tcPr>
            <w:tcW w:w="767" w:type="dxa"/>
            <w:vMerge w:val="continue"/>
            <w:shd w:val="clear" w:color="000000" w:fill="FFFFFF"/>
            <w:vAlign w:val="center"/>
          </w:tcPr>
          <w:p>
            <w:pPr>
              <w:adjustRightInd w:val="0"/>
              <w:snapToGrid w:val="0"/>
              <w:jc w:val="center"/>
              <w:rPr>
                <w:rFonts w:ascii="??_GB2312" w:eastAsia="Times New Roman" w:cs="??_GB2312"/>
                <w:bCs/>
                <w:sz w:val="24"/>
                <w:szCs w:val="24"/>
              </w:rPr>
            </w:pPr>
          </w:p>
        </w:tc>
        <w:tc>
          <w:tcPr>
            <w:tcW w:w="754" w:type="dxa"/>
            <w:vMerge w:val="continue"/>
            <w:shd w:val="clear" w:color="000000" w:fill="FFFFFF"/>
            <w:vAlign w:val="center"/>
          </w:tcPr>
          <w:p>
            <w:pPr>
              <w:adjustRightInd w:val="0"/>
              <w:snapToGrid w:val="0"/>
              <w:jc w:val="center"/>
              <w:rPr>
                <w:rFonts w:ascii="??_GB2312" w:eastAsia="Times New Roman" w:cs="??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740" w:type="dxa"/>
            <w:vAlign w:val="center"/>
          </w:tcPr>
          <w:p>
            <w:pPr>
              <w:adjustRightInd w:val="0"/>
              <w:snapToGrid w:val="0"/>
              <w:jc w:val="center"/>
              <w:rPr>
                <w:rFonts w:ascii="??_GB2312" w:cs="??_GB2312"/>
                <w:bCs/>
                <w:sz w:val="24"/>
                <w:szCs w:val="24"/>
              </w:rPr>
            </w:pPr>
            <w:r>
              <w:rPr>
                <w:rFonts w:ascii="??_GB2312" w:cs="??_GB2312"/>
                <w:bCs/>
                <w:sz w:val="24"/>
                <w:szCs w:val="24"/>
              </w:rPr>
              <w:t>12</w:t>
            </w:r>
          </w:p>
        </w:tc>
        <w:tc>
          <w:tcPr>
            <w:tcW w:w="889" w:type="dxa"/>
            <w:vAlign w:val="center"/>
          </w:tcPr>
          <w:p>
            <w:pPr>
              <w:adjustRightInd w:val="0"/>
              <w:snapToGrid w:val="0"/>
              <w:jc w:val="center"/>
              <w:rPr>
                <w:rFonts w:ascii="??_GB2312" w:cs="??_GB2312"/>
                <w:bCs/>
                <w:sz w:val="24"/>
                <w:szCs w:val="24"/>
              </w:rPr>
            </w:pPr>
            <w:r>
              <w:rPr>
                <w:rFonts w:hint="eastAsia" w:ascii="??_GB2312" w:cs="??_GB2312"/>
                <w:bCs/>
                <w:sz w:val="24"/>
                <w:szCs w:val="24"/>
              </w:rPr>
              <w:t>语数教学部</w:t>
            </w:r>
          </w:p>
        </w:tc>
        <w:tc>
          <w:tcPr>
            <w:tcW w:w="1003" w:type="dxa"/>
            <w:vAlign w:val="center"/>
          </w:tcPr>
          <w:p>
            <w:pPr>
              <w:adjustRightInd w:val="0"/>
              <w:snapToGrid w:val="0"/>
              <w:jc w:val="center"/>
              <w:rPr>
                <w:rFonts w:ascii="??_GB2312" w:cs="??_GB2312"/>
                <w:bCs/>
                <w:sz w:val="24"/>
                <w:szCs w:val="24"/>
              </w:rPr>
            </w:pPr>
          </w:p>
        </w:tc>
        <w:tc>
          <w:tcPr>
            <w:tcW w:w="1567" w:type="dxa"/>
            <w:vAlign w:val="center"/>
          </w:tcPr>
          <w:p>
            <w:pPr>
              <w:adjustRightInd w:val="0"/>
              <w:snapToGrid w:val="0"/>
              <w:jc w:val="center"/>
              <w:rPr>
                <w:rFonts w:ascii="??_GB2312" w:eastAsia="Times New Roman" w:cs="??_GB2312"/>
                <w:bCs/>
                <w:sz w:val="24"/>
                <w:szCs w:val="24"/>
              </w:rPr>
            </w:pPr>
            <w:r>
              <w:rPr>
                <w:rFonts w:hint="eastAsia" w:ascii="??_GB2312" w:cs="??_GB2312"/>
                <w:bCs/>
                <w:sz w:val="24"/>
                <w:szCs w:val="24"/>
              </w:rPr>
              <w:t>高等数学</w:t>
            </w:r>
          </w:p>
        </w:tc>
        <w:tc>
          <w:tcPr>
            <w:tcW w:w="2069" w:type="dxa"/>
            <w:vAlign w:val="center"/>
          </w:tcPr>
          <w:p>
            <w:pPr>
              <w:adjustRightInd w:val="0"/>
              <w:snapToGrid w:val="0"/>
              <w:jc w:val="center"/>
              <w:rPr>
                <w:rFonts w:ascii="??_GB2312" w:eastAsia="Times New Roman" w:cs="??_GB2312"/>
                <w:bCs/>
                <w:sz w:val="24"/>
                <w:szCs w:val="24"/>
              </w:rPr>
            </w:pPr>
            <w:r>
              <w:rPr>
                <w:rFonts w:ascii="??_GB2312" w:eastAsia="Times New Roman" w:cs="??_GB2312"/>
                <w:bCs/>
                <w:sz w:val="24"/>
                <w:szCs w:val="24"/>
              </w:rPr>
              <w:t>硕士研究生或高校中级以上职称</w:t>
            </w:r>
          </w:p>
        </w:tc>
        <w:tc>
          <w:tcPr>
            <w:tcW w:w="853" w:type="dxa"/>
            <w:shd w:val="clear" w:color="000000" w:fill="FFFFFF"/>
            <w:vAlign w:val="center"/>
          </w:tcPr>
          <w:p>
            <w:pPr>
              <w:adjustRightInd w:val="0"/>
              <w:snapToGrid w:val="0"/>
              <w:jc w:val="center"/>
              <w:rPr>
                <w:rFonts w:ascii="??_GB2312" w:cs="??_GB2312"/>
                <w:bCs/>
                <w:sz w:val="24"/>
                <w:szCs w:val="24"/>
              </w:rPr>
            </w:pPr>
            <w:r>
              <w:rPr>
                <w:rFonts w:ascii="??_GB2312" w:cs="??_GB2312"/>
                <w:bCs/>
                <w:sz w:val="24"/>
                <w:szCs w:val="24"/>
              </w:rPr>
              <w:t>2</w:t>
            </w:r>
          </w:p>
        </w:tc>
        <w:tc>
          <w:tcPr>
            <w:tcW w:w="777" w:type="dxa"/>
            <w:shd w:val="clear" w:color="000000" w:fill="FFFFFF"/>
            <w:vAlign w:val="center"/>
          </w:tcPr>
          <w:p>
            <w:pPr>
              <w:adjustRightInd w:val="0"/>
              <w:snapToGrid w:val="0"/>
              <w:jc w:val="center"/>
              <w:rPr>
                <w:rFonts w:ascii="??_GB2312" w:cs="??_GB2312"/>
                <w:bCs/>
                <w:sz w:val="24"/>
                <w:szCs w:val="24"/>
              </w:rPr>
            </w:pPr>
          </w:p>
        </w:tc>
        <w:tc>
          <w:tcPr>
            <w:tcW w:w="767" w:type="dxa"/>
            <w:shd w:val="clear" w:color="000000" w:fill="FFFFFF"/>
            <w:vAlign w:val="center"/>
          </w:tcPr>
          <w:p>
            <w:pPr>
              <w:adjustRightInd w:val="0"/>
              <w:snapToGrid w:val="0"/>
              <w:jc w:val="center"/>
              <w:rPr>
                <w:rFonts w:ascii="??_GB2312" w:cs="??_GB2312"/>
                <w:bCs/>
                <w:sz w:val="24"/>
                <w:szCs w:val="24"/>
              </w:rPr>
            </w:pPr>
            <w:r>
              <w:rPr>
                <w:rFonts w:hint="eastAsia" w:ascii="??_GB2312" w:cs="??_GB2312"/>
                <w:bCs/>
                <w:sz w:val="24"/>
                <w:szCs w:val="24"/>
              </w:rPr>
              <w:t>肖主任</w:t>
            </w:r>
            <w:r>
              <w:rPr>
                <w:rFonts w:ascii="??_GB2312" w:eastAsia="Times New Roman" w:cs="??_GB2312"/>
                <w:bCs/>
                <w:sz w:val="24"/>
                <w:szCs w:val="24"/>
              </w:rPr>
              <w:t>0591-</w:t>
            </w:r>
            <w:r>
              <w:rPr>
                <w:rFonts w:ascii="??_GB2312" w:cs="??_GB2312"/>
                <w:bCs/>
                <w:sz w:val="24"/>
                <w:szCs w:val="24"/>
              </w:rPr>
              <w:t>27561362</w:t>
            </w:r>
          </w:p>
        </w:tc>
        <w:tc>
          <w:tcPr>
            <w:tcW w:w="754" w:type="dxa"/>
            <w:shd w:val="clear" w:color="000000" w:fill="FFFFFF"/>
            <w:vAlign w:val="center"/>
          </w:tcPr>
          <w:p>
            <w:pPr>
              <w:adjustRightInd w:val="0"/>
              <w:snapToGrid w:val="0"/>
              <w:jc w:val="center"/>
              <w:rPr>
                <w:rFonts w:ascii="??_GB2312" w:eastAsia="Times New Roman" w:cs="??_GB2312"/>
                <w:bCs/>
                <w:sz w:val="24"/>
                <w:szCs w:val="24"/>
              </w:rPr>
            </w:pPr>
          </w:p>
        </w:tc>
      </w:tr>
    </w:tbl>
    <w:p>
      <w:pPr>
        <w:numPr>
          <w:ilvl w:val="0"/>
          <w:numId w:val="1"/>
        </w:numPr>
        <w:ind w:firstLine="31680" w:firstLineChars="200"/>
        <w:rPr>
          <w:rFonts w:ascii="仿宋" w:hAnsi="仿宋" w:eastAsia="仿宋" w:cs="仿宋"/>
          <w:b/>
          <w:sz w:val="28"/>
          <w:szCs w:val="28"/>
        </w:rPr>
      </w:pPr>
      <w:r>
        <w:rPr>
          <w:rFonts w:hint="eastAsia" w:ascii="仿宋" w:hAnsi="仿宋" w:eastAsia="仿宋" w:cs="仿宋"/>
          <w:b/>
          <w:sz w:val="28"/>
          <w:szCs w:val="28"/>
        </w:rPr>
        <w:t>待遇</w:t>
      </w:r>
    </w:p>
    <w:p>
      <w:pPr>
        <w:spacing w:line="600" w:lineRule="exact"/>
        <w:rPr>
          <w:rFonts w:ascii="仿宋" w:hAnsi="仿宋" w:eastAsia="仿宋" w:cs="仿宋"/>
          <w:b/>
          <w:sz w:val="28"/>
          <w:szCs w:val="28"/>
        </w:rPr>
      </w:pPr>
      <w:r>
        <w:rPr>
          <w:rFonts w:ascii="??_GB2312" w:eastAsia="Times New Roman"/>
          <w:b/>
          <w:sz w:val="28"/>
          <w:szCs w:val="28"/>
        </w:rPr>
        <w:t>（一）</w:t>
      </w:r>
      <w:r>
        <w:rPr>
          <w:rFonts w:hint="eastAsia" w:ascii="仿宋" w:hAnsi="仿宋" w:eastAsia="仿宋" w:cs="仿宋"/>
          <w:b/>
          <w:sz w:val="28"/>
          <w:szCs w:val="28"/>
        </w:rPr>
        <w:t>博士及副高以上人才引进待遇</w:t>
      </w:r>
    </w:p>
    <w:tbl>
      <w:tblPr>
        <w:tblStyle w:val="11"/>
        <w:tblW w:w="9360" w:type="dxa"/>
        <w:jc w:val="center"/>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1619"/>
        <w:gridCol w:w="1234"/>
        <w:gridCol w:w="1066"/>
        <w:gridCol w:w="1234"/>
        <w:gridCol w:w="1383"/>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atLeast"/>
          <w:jc w:val="center"/>
        </w:trPr>
        <w:tc>
          <w:tcPr>
            <w:tcW w:w="2713" w:type="dxa"/>
            <w:gridSpan w:val="2"/>
            <w:vAlign w:val="center"/>
          </w:tcPr>
          <w:p>
            <w:pPr>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类别</w:t>
            </w:r>
          </w:p>
        </w:tc>
        <w:tc>
          <w:tcPr>
            <w:tcW w:w="1234" w:type="dxa"/>
            <w:vAlign w:val="center"/>
          </w:tcPr>
          <w:p>
            <w:pPr>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安家费（含搬迁费用）  (万元)</w:t>
            </w:r>
          </w:p>
        </w:tc>
        <w:tc>
          <w:tcPr>
            <w:tcW w:w="1066" w:type="dxa"/>
            <w:vAlign w:val="center"/>
          </w:tcPr>
          <w:p>
            <w:pPr>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购房补贴(万元)</w:t>
            </w:r>
          </w:p>
        </w:tc>
        <w:tc>
          <w:tcPr>
            <w:tcW w:w="1234" w:type="dxa"/>
          </w:tcPr>
          <w:p>
            <w:pPr>
              <w:jc w:val="center"/>
              <w:rPr>
                <w:rFonts w:ascii="??_GB2312" w:hAnsi="宋体" w:eastAsia="Times New Roman" w:cs="宋体"/>
                <w:b/>
                <w:bCs/>
                <w:color w:val="000000"/>
                <w:kern w:val="0"/>
                <w:szCs w:val="21"/>
              </w:rPr>
            </w:pPr>
          </w:p>
          <w:p>
            <w:pPr>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科研启动经费</w:t>
            </w:r>
          </w:p>
          <w:p>
            <w:pPr>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(万元)</w:t>
            </w:r>
          </w:p>
        </w:tc>
        <w:tc>
          <w:tcPr>
            <w:tcW w:w="1383" w:type="dxa"/>
            <w:vAlign w:val="center"/>
          </w:tcPr>
          <w:p>
            <w:pPr>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引进人才</w:t>
            </w:r>
          </w:p>
          <w:p>
            <w:pPr>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校长金</w:t>
            </w:r>
          </w:p>
          <w:p>
            <w:pPr>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(万元)</w:t>
            </w:r>
          </w:p>
        </w:tc>
        <w:tc>
          <w:tcPr>
            <w:tcW w:w="1730" w:type="dxa"/>
            <w:vAlign w:val="center"/>
          </w:tcPr>
          <w:p>
            <w:pPr>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jc w:val="center"/>
        </w:trPr>
        <w:tc>
          <w:tcPr>
            <w:tcW w:w="2713" w:type="dxa"/>
            <w:gridSpan w:val="2"/>
            <w:vAlign w:val="center"/>
          </w:tcPr>
          <w:p>
            <w:pPr>
              <w:jc w:val="center"/>
              <w:rPr>
                <w:rFonts w:ascii="??_GB2312" w:hAnsi="宋体" w:eastAsia="Times New Roman" w:cs="宋体"/>
                <w:bCs/>
                <w:color w:val="000000"/>
                <w:kern w:val="0"/>
                <w:szCs w:val="21"/>
              </w:rPr>
            </w:pPr>
            <w:r>
              <w:rPr>
                <w:rFonts w:ascii="??_GB2312" w:hAnsi="宋体" w:eastAsia="Times New Roman" w:cs="宋体"/>
                <w:bCs/>
                <w:color w:val="000000"/>
                <w:kern w:val="0"/>
                <w:szCs w:val="21"/>
              </w:rPr>
              <w:t>教授</w:t>
            </w:r>
          </w:p>
        </w:tc>
        <w:tc>
          <w:tcPr>
            <w:tcW w:w="1234" w:type="dxa"/>
            <w:vAlign w:val="center"/>
          </w:tcPr>
          <w:p>
            <w:pPr>
              <w:jc w:val="center"/>
              <w:rPr>
                <w:rFonts w:ascii="??_GB2312" w:hAnsi="宋体" w:eastAsia="Times New Roman" w:cs="宋体"/>
                <w:bCs/>
                <w:color w:val="000000"/>
                <w:kern w:val="0"/>
                <w:szCs w:val="21"/>
              </w:rPr>
            </w:pPr>
            <w:r>
              <w:rPr>
                <w:rFonts w:ascii="??_GB2312" w:hAnsi="宋体" w:eastAsia="Times New Roman" w:cs="宋体"/>
                <w:bCs/>
                <w:color w:val="000000"/>
                <w:kern w:val="0"/>
                <w:szCs w:val="21"/>
              </w:rPr>
              <w:t>5</w:t>
            </w:r>
          </w:p>
        </w:tc>
        <w:tc>
          <w:tcPr>
            <w:tcW w:w="1066" w:type="dxa"/>
            <w:vAlign w:val="center"/>
          </w:tcPr>
          <w:p>
            <w:pPr>
              <w:jc w:val="center"/>
              <w:rPr>
                <w:rFonts w:ascii="??_GB2312" w:hAnsi="宋体" w:eastAsia="Times New Roman" w:cs="宋体"/>
                <w:bCs/>
                <w:color w:val="000000"/>
                <w:kern w:val="0"/>
                <w:szCs w:val="21"/>
              </w:rPr>
            </w:pPr>
            <w:r>
              <w:rPr>
                <w:rFonts w:ascii="??_GB2312" w:hAnsi="宋体" w:eastAsia="Times New Roman" w:cs="宋体"/>
                <w:bCs/>
                <w:color w:val="000000"/>
                <w:kern w:val="0"/>
                <w:szCs w:val="21"/>
              </w:rPr>
              <w:t>35</w:t>
            </w:r>
          </w:p>
        </w:tc>
        <w:tc>
          <w:tcPr>
            <w:tcW w:w="1234" w:type="dxa"/>
            <w:vAlign w:val="center"/>
          </w:tcPr>
          <w:p>
            <w:pPr>
              <w:jc w:val="center"/>
              <w:rPr>
                <w:rFonts w:ascii="??_GB2312" w:hAnsi="宋体" w:eastAsia="Times New Roman" w:cs="宋体"/>
                <w:bCs/>
                <w:color w:val="000000"/>
                <w:kern w:val="0"/>
                <w:szCs w:val="21"/>
              </w:rPr>
            </w:pPr>
            <w:r>
              <w:rPr>
                <w:rFonts w:ascii="??_GB2312" w:hAnsi="宋体" w:eastAsia="Times New Roman" w:cs="宋体"/>
                <w:bCs/>
                <w:color w:val="000000"/>
                <w:kern w:val="0"/>
                <w:szCs w:val="21"/>
              </w:rPr>
              <w:t>20</w:t>
            </w:r>
          </w:p>
        </w:tc>
        <w:tc>
          <w:tcPr>
            <w:tcW w:w="1383" w:type="dxa"/>
            <w:vAlign w:val="center"/>
          </w:tcPr>
          <w:p>
            <w:pPr>
              <w:jc w:val="center"/>
              <w:rPr>
                <w:rFonts w:ascii="??_GB2312" w:hAnsi="宋体" w:eastAsia="Times New Roman" w:cs="宋体"/>
                <w:bCs/>
                <w:color w:val="000000"/>
                <w:kern w:val="0"/>
                <w:szCs w:val="21"/>
              </w:rPr>
            </w:pPr>
            <w:r>
              <w:rPr>
                <w:rFonts w:ascii="??_GB2312" w:hAnsi="宋体" w:eastAsia="Times New Roman" w:cs="宋体"/>
                <w:bCs/>
                <w:color w:val="000000"/>
                <w:kern w:val="0"/>
                <w:szCs w:val="21"/>
              </w:rPr>
              <w:t>30</w:t>
            </w:r>
          </w:p>
        </w:tc>
        <w:tc>
          <w:tcPr>
            <w:tcW w:w="1730" w:type="dxa"/>
            <w:vMerge w:val="restart"/>
            <w:vAlign w:val="center"/>
          </w:tcPr>
          <w:p>
            <w:pPr>
              <w:spacing w:line="400" w:lineRule="exact"/>
              <w:jc w:val="left"/>
              <w:rPr>
                <w:rFonts w:ascii="仿宋" w:hAnsi="仿宋" w:eastAsia="仿宋" w:cs="仿宋"/>
                <w:sz w:val="18"/>
                <w:szCs w:val="18"/>
              </w:rPr>
            </w:pPr>
            <w:r>
              <w:rPr>
                <w:rFonts w:hint="eastAsia" w:ascii="仿宋" w:hAnsi="仿宋" w:eastAsia="仿宋" w:cs="仿宋"/>
                <w:sz w:val="18"/>
                <w:szCs w:val="18"/>
              </w:rPr>
              <w:t>①博士研究生类别根据学校每年学科专业发展情况来划分确定；②校长引进人才优待金按</w:t>
            </w:r>
            <w:r>
              <w:rPr>
                <w:rFonts w:ascii="仿宋" w:hAnsi="仿宋" w:eastAsia="仿宋" w:cs="仿宋"/>
                <w:sz w:val="18"/>
                <w:szCs w:val="18"/>
              </w:rPr>
              <w:t>10</w:t>
            </w:r>
            <w:r>
              <w:rPr>
                <w:rFonts w:hint="eastAsia" w:ascii="仿宋" w:hAnsi="仿宋" w:eastAsia="仿宋" w:cs="仿宋"/>
                <w:sz w:val="18"/>
                <w:szCs w:val="18"/>
              </w:rPr>
              <w:t>年服务年限均发；</w:t>
            </w:r>
            <w:r>
              <w:rPr>
                <w:rFonts w:ascii="仿宋" w:hAnsi="仿宋" w:eastAsia="仿宋" w:cs="仿宋"/>
                <w:sz w:val="18"/>
                <w:szCs w:val="18"/>
              </w:rPr>
              <w:fldChar w:fldCharType="begin"/>
            </w:r>
            <w:r>
              <w:rPr>
                <w:rFonts w:ascii="仿宋" w:hAnsi="仿宋" w:eastAsia="仿宋" w:cs="仿宋"/>
                <w:sz w:val="18"/>
                <w:szCs w:val="18"/>
              </w:rPr>
              <w:instrText xml:space="preserve"> = 3 \* GB3 </w:instrText>
            </w:r>
            <w:r>
              <w:rPr>
                <w:rFonts w:ascii="仿宋" w:hAnsi="仿宋" w:eastAsia="仿宋" w:cs="仿宋"/>
                <w:sz w:val="18"/>
                <w:szCs w:val="18"/>
              </w:rPr>
              <w:fldChar w:fldCharType="separate"/>
            </w:r>
            <w:r>
              <w:rPr>
                <w:rFonts w:hint="eastAsia" w:ascii="仿宋" w:hAnsi="仿宋" w:eastAsia="仿宋" w:cs="仿宋"/>
                <w:sz w:val="18"/>
                <w:szCs w:val="18"/>
                <w:lang w:val="zh-CN"/>
              </w:rPr>
              <w:t>③</w:t>
            </w:r>
            <w:r>
              <w:rPr>
                <w:rFonts w:ascii="仿宋" w:hAnsi="仿宋" w:eastAsia="仿宋" w:cs="仿宋"/>
                <w:sz w:val="18"/>
                <w:szCs w:val="18"/>
              </w:rPr>
              <w:fldChar w:fldCharType="end"/>
            </w:r>
            <w:r>
              <w:rPr>
                <w:rFonts w:hint="eastAsia" w:ascii="仿宋" w:hAnsi="仿宋" w:eastAsia="仿宋" w:cs="仿宋"/>
                <w:sz w:val="18"/>
                <w:szCs w:val="18"/>
              </w:rPr>
              <w:t>以上引进人才为非退休人员；</w:t>
            </w:r>
            <w:r>
              <w:rPr>
                <w:rFonts w:ascii="仿宋" w:hAnsi="仿宋" w:eastAsia="仿宋" w:cs="仿宋"/>
                <w:sz w:val="18"/>
                <w:szCs w:val="18"/>
              </w:rPr>
              <w:fldChar w:fldCharType="begin"/>
            </w:r>
            <w:r>
              <w:rPr>
                <w:rFonts w:ascii="仿宋" w:hAnsi="仿宋" w:eastAsia="仿宋" w:cs="仿宋"/>
                <w:sz w:val="18"/>
                <w:szCs w:val="18"/>
              </w:rPr>
              <w:instrText xml:space="preserve"> = 4 \* GB3 </w:instrText>
            </w:r>
            <w:r>
              <w:rPr>
                <w:rFonts w:ascii="仿宋" w:hAnsi="仿宋" w:eastAsia="仿宋" w:cs="仿宋"/>
                <w:sz w:val="18"/>
                <w:szCs w:val="18"/>
              </w:rPr>
              <w:fldChar w:fldCharType="separate"/>
            </w:r>
            <w:r>
              <w:rPr>
                <w:rFonts w:hint="eastAsia" w:ascii="仿宋" w:hAnsi="仿宋" w:eastAsia="仿宋" w:cs="仿宋"/>
                <w:sz w:val="18"/>
                <w:szCs w:val="18"/>
                <w:lang w:val="zh-CN"/>
              </w:rPr>
              <w:t>④</w:t>
            </w:r>
            <w:r>
              <w:rPr>
                <w:rFonts w:ascii="仿宋" w:hAnsi="仿宋" w:eastAsia="仿宋" w:cs="仿宋"/>
                <w:sz w:val="18"/>
                <w:szCs w:val="18"/>
              </w:rPr>
              <w:fldChar w:fldCharType="end"/>
            </w:r>
            <w:r>
              <w:rPr>
                <w:rFonts w:hint="eastAsia" w:ascii="仿宋" w:hAnsi="仿宋" w:eastAsia="仿宋" w:cs="仿宋"/>
                <w:sz w:val="18"/>
                <w:szCs w:val="18"/>
              </w:rPr>
              <w:t>以上补贴和福利待遇为税前，单位为人民币。</w:t>
            </w:r>
          </w:p>
          <w:p>
            <w:pPr>
              <w:rPr>
                <w:rFonts w:ascii="??_GB2312" w:hAnsi="宋体" w:eastAsia="Times New Roman" w:cs="宋体"/>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6" w:hRule="atLeast"/>
          <w:jc w:val="center"/>
        </w:trPr>
        <w:tc>
          <w:tcPr>
            <w:tcW w:w="2713" w:type="dxa"/>
            <w:gridSpan w:val="2"/>
            <w:vAlign w:val="center"/>
          </w:tcPr>
          <w:p>
            <w:pPr>
              <w:jc w:val="center"/>
              <w:rPr>
                <w:rFonts w:ascii="??_GB2312" w:hAnsi="宋体" w:eastAsia="Times New Roman"/>
                <w:szCs w:val="21"/>
              </w:rPr>
            </w:pPr>
            <w:r>
              <w:rPr>
                <w:rFonts w:ascii="??_GB2312" w:hAnsi="宋体" w:eastAsia="Times New Roman"/>
                <w:szCs w:val="21"/>
              </w:rPr>
              <w:t>具有博士学位的副教授或博士后出站人员</w:t>
            </w:r>
          </w:p>
        </w:tc>
        <w:tc>
          <w:tcPr>
            <w:tcW w:w="1234" w:type="dxa"/>
            <w:vAlign w:val="center"/>
          </w:tcPr>
          <w:p>
            <w:pPr>
              <w:jc w:val="center"/>
              <w:rPr>
                <w:rFonts w:ascii="??_GB2312" w:hAnsi="Arial" w:eastAsia="Times New Roman" w:cs="Arial"/>
                <w:szCs w:val="21"/>
              </w:rPr>
            </w:pPr>
            <w:r>
              <w:rPr>
                <w:rFonts w:ascii="??_GB2312" w:hAnsi="Arial" w:eastAsia="Times New Roman" w:cs="Arial"/>
                <w:szCs w:val="21"/>
              </w:rPr>
              <w:t>5</w:t>
            </w:r>
          </w:p>
        </w:tc>
        <w:tc>
          <w:tcPr>
            <w:tcW w:w="1066" w:type="dxa"/>
            <w:vAlign w:val="center"/>
          </w:tcPr>
          <w:p>
            <w:pPr>
              <w:jc w:val="center"/>
              <w:rPr>
                <w:rFonts w:ascii="??_GB2312" w:hAnsi="Arial" w:eastAsia="Times New Roman" w:cs="Arial"/>
                <w:szCs w:val="21"/>
              </w:rPr>
            </w:pPr>
            <w:r>
              <w:rPr>
                <w:rFonts w:ascii="??_GB2312" w:hAnsi="Arial" w:eastAsia="Times New Roman" w:cs="Arial"/>
                <w:szCs w:val="21"/>
              </w:rPr>
              <w:t>30</w:t>
            </w:r>
          </w:p>
        </w:tc>
        <w:tc>
          <w:tcPr>
            <w:tcW w:w="1234" w:type="dxa"/>
            <w:vAlign w:val="center"/>
          </w:tcPr>
          <w:p>
            <w:pPr>
              <w:jc w:val="center"/>
              <w:rPr>
                <w:rFonts w:ascii="??_GB2312" w:hAnsi="Arial" w:eastAsia="Times New Roman" w:cs="Arial"/>
                <w:szCs w:val="21"/>
              </w:rPr>
            </w:pPr>
            <w:r>
              <w:rPr>
                <w:rFonts w:ascii="??_GB2312" w:hAnsi="Arial" w:eastAsia="Times New Roman" w:cs="Arial"/>
                <w:szCs w:val="21"/>
              </w:rPr>
              <w:t>15</w:t>
            </w:r>
          </w:p>
        </w:tc>
        <w:tc>
          <w:tcPr>
            <w:tcW w:w="1383" w:type="dxa"/>
            <w:vAlign w:val="center"/>
          </w:tcPr>
          <w:p>
            <w:pPr>
              <w:jc w:val="center"/>
              <w:rPr>
                <w:rFonts w:ascii="??_GB2312" w:hAnsi="Arial" w:eastAsia="Times New Roman" w:cs="Arial"/>
                <w:szCs w:val="21"/>
              </w:rPr>
            </w:pPr>
            <w:r>
              <w:rPr>
                <w:rFonts w:ascii="??_GB2312" w:hAnsi="Arial" w:eastAsia="Times New Roman" w:cs="Arial"/>
                <w:szCs w:val="21"/>
              </w:rPr>
              <w:t>30</w:t>
            </w:r>
          </w:p>
        </w:tc>
        <w:tc>
          <w:tcPr>
            <w:tcW w:w="1730" w:type="dxa"/>
            <w:vMerge w:val="continue"/>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8" w:hRule="atLeast"/>
          <w:jc w:val="center"/>
        </w:trPr>
        <w:tc>
          <w:tcPr>
            <w:tcW w:w="1094" w:type="dxa"/>
            <w:vMerge w:val="restart"/>
            <w:vAlign w:val="center"/>
          </w:tcPr>
          <w:p>
            <w:pPr>
              <w:rPr>
                <w:rFonts w:ascii="??_GB2312" w:hAnsi="宋体" w:eastAsia="Times New Roman"/>
                <w:szCs w:val="21"/>
              </w:rPr>
            </w:pPr>
            <w:r>
              <w:rPr>
                <w:rFonts w:ascii="??_GB2312" w:hAnsi="宋体" w:eastAsia="Times New Roman"/>
                <w:szCs w:val="21"/>
              </w:rPr>
              <w:t>1.公办本科院校硕士学位的副教授</w:t>
            </w:r>
          </w:p>
          <w:p>
            <w:pPr>
              <w:rPr>
                <w:rFonts w:ascii="??_GB2312" w:hAnsi="宋体" w:eastAsia="Times New Roman"/>
                <w:szCs w:val="21"/>
              </w:rPr>
            </w:pPr>
            <w:r>
              <w:rPr>
                <w:rFonts w:ascii="??_GB2312" w:hAnsi="宋体" w:eastAsia="Times New Roman"/>
                <w:szCs w:val="21"/>
              </w:rPr>
              <w:t>2.博士</w:t>
            </w:r>
          </w:p>
          <w:p>
            <w:pPr>
              <w:rPr>
                <w:rFonts w:ascii="??_GB2312" w:hAnsi="宋体" w:eastAsia="Times New Roman"/>
                <w:szCs w:val="21"/>
              </w:rPr>
            </w:pPr>
            <w:r>
              <w:rPr>
                <w:rFonts w:ascii="??_GB2312" w:hAnsi="宋体" w:eastAsia="Times New Roman"/>
                <w:szCs w:val="21"/>
              </w:rPr>
              <w:t>研究生</w:t>
            </w:r>
          </w:p>
        </w:tc>
        <w:tc>
          <w:tcPr>
            <w:tcW w:w="1619" w:type="dxa"/>
            <w:vAlign w:val="center"/>
          </w:tcPr>
          <w:p>
            <w:pPr>
              <w:jc w:val="center"/>
              <w:rPr>
                <w:rFonts w:ascii="??_GB2312" w:hAnsi="宋体" w:eastAsia="Times New Roman"/>
                <w:szCs w:val="21"/>
              </w:rPr>
            </w:pPr>
            <w:r>
              <w:rPr>
                <w:rFonts w:ascii="??_GB2312" w:hAnsi="宋体" w:eastAsia="Times New Roman"/>
                <w:szCs w:val="21"/>
              </w:rPr>
              <w:t>紧缺急需</w:t>
            </w:r>
          </w:p>
          <w:p>
            <w:pPr>
              <w:jc w:val="center"/>
              <w:rPr>
                <w:rFonts w:ascii="??_GB2312" w:hAnsi="宋体" w:eastAsia="Times New Roman"/>
                <w:szCs w:val="21"/>
              </w:rPr>
            </w:pPr>
            <w:r>
              <w:rPr>
                <w:rFonts w:ascii="??_GB2312" w:hAnsi="宋体" w:eastAsia="Times New Roman"/>
                <w:szCs w:val="21"/>
              </w:rPr>
              <w:t>专业</w:t>
            </w:r>
          </w:p>
        </w:tc>
        <w:tc>
          <w:tcPr>
            <w:tcW w:w="1234" w:type="dxa"/>
            <w:vAlign w:val="center"/>
          </w:tcPr>
          <w:p>
            <w:pPr>
              <w:jc w:val="center"/>
              <w:rPr>
                <w:rFonts w:ascii="??_GB2312" w:hAnsi="Arial" w:eastAsia="Times New Roman" w:cs="Arial"/>
                <w:szCs w:val="21"/>
              </w:rPr>
            </w:pPr>
            <w:r>
              <w:rPr>
                <w:rFonts w:ascii="??_GB2312" w:hAnsi="Arial" w:eastAsia="Times New Roman" w:cs="Arial"/>
                <w:szCs w:val="21"/>
              </w:rPr>
              <w:t>3</w:t>
            </w:r>
          </w:p>
        </w:tc>
        <w:tc>
          <w:tcPr>
            <w:tcW w:w="1066" w:type="dxa"/>
            <w:vAlign w:val="center"/>
          </w:tcPr>
          <w:p>
            <w:pPr>
              <w:jc w:val="center"/>
              <w:rPr>
                <w:rFonts w:ascii="??_GB2312" w:hAnsi="Arial" w:eastAsia="Times New Roman" w:cs="Arial"/>
                <w:szCs w:val="21"/>
              </w:rPr>
            </w:pPr>
            <w:r>
              <w:rPr>
                <w:rFonts w:ascii="??_GB2312" w:hAnsi="Arial" w:eastAsia="Times New Roman" w:cs="Arial"/>
                <w:szCs w:val="21"/>
              </w:rPr>
              <w:t>27</w:t>
            </w:r>
          </w:p>
        </w:tc>
        <w:tc>
          <w:tcPr>
            <w:tcW w:w="1234" w:type="dxa"/>
            <w:vAlign w:val="center"/>
          </w:tcPr>
          <w:p>
            <w:pPr>
              <w:jc w:val="center"/>
              <w:rPr>
                <w:rFonts w:ascii="??_GB2312" w:hAnsi="Arial" w:eastAsia="Times New Roman" w:cs="Arial"/>
                <w:szCs w:val="21"/>
              </w:rPr>
            </w:pPr>
            <w:r>
              <w:rPr>
                <w:rFonts w:ascii="??_GB2312" w:hAnsi="Arial" w:eastAsia="Times New Roman" w:cs="Arial"/>
                <w:szCs w:val="21"/>
              </w:rPr>
              <w:t>10</w:t>
            </w:r>
          </w:p>
        </w:tc>
        <w:tc>
          <w:tcPr>
            <w:tcW w:w="1383" w:type="dxa"/>
            <w:vAlign w:val="center"/>
          </w:tcPr>
          <w:p>
            <w:pPr>
              <w:jc w:val="center"/>
              <w:rPr>
                <w:rFonts w:ascii="??_GB2312" w:hAnsi="Arial" w:eastAsia="Times New Roman" w:cs="Arial"/>
                <w:szCs w:val="21"/>
              </w:rPr>
            </w:pPr>
            <w:r>
              <w:rPr>
                <w:rFonts w:ascii="??_GB2312" w:hAnsi="Arial" w:eastAsia="Times New Roman" w:cs="Arial"/>
                <w:szCs w:val="21"/>
              </w:rPr>
              <w:t>30</w:t>
            </w:r>
          </w:p>
        </w:tc>
        <w:tc>
          <w:tcPr>
            <w:tcW w:w="1730" w:type="dxa"/>
            <w:vMerge w:val="continue"/>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3" w:hRule="atLeast"/>
          <w:jc w:val="center"/>
        </w:trPr>
        <w:tc>
          <w:tcPr>
            <w:tcW w:w="1094" w:type="dxa"/>
            <w:vMerge w:val="continue"/>
            <w:vAlign w:val="center"/>
          </w:tcPr>
          <w:p>
            <w:pPr>
              <w:jc w:val="center"/>
              <w:rPr>
                <w:rFonts w:ascii="??_GB2312" w:hAnsi="宋体" w:eastAsia="Times New Roman"/>
                <w:szCs w:val="21"/>
              </w:rPr>
            </w:pPr>
          </w:p>
        </w:tc>
        <w:tc>
          <w:tcPr>
            <w:tcW w:w="1619" w:type="dxa"/>
            <w:vAlign w:val="center"/>
          </w:tcPr>
          <w:p>
            <w:pPr>
              <w:jc w:val="center"/>
              <w:rPr>
                <w:rFonts w:ascii="??_GB2312" w:hAnsi="宋体" w:eastAsia="Times New Roman"/>
                <w:szCs w:val="21"/>
              </w:rPr>
            </w:pPr>
            <w:r>
              <w:rPr>
                <w:rFonts w:ascii="??_GB2312" w:hAnsi="宋体" w:eastAsia="Times New Roman"/>
                <w:szCs w:val="21"/>
              </w:rPr>
              <w:t>学校专业建设中的其他专业</w:t>
            </w:r>
          </w:p>
        </w:tc>
        <w:tc>
          <w:tcPr>
            <w:tcW w:w="1234" w:type="dxa"/>
            <w:vAlign w:val="center"/>
          </w:tcPr>
          <w:p>
            <w:pPr>
              <w:jc w:val="center"/>
              <w:rPr>
                <w:rFonts w:ascii="??_GB2312" w:hAnsi="Arial" w:eastAsia="Times New Roman" w:cs="Arial"/>
                <w:szCs w:val="21"/>
              </w:rPr>
            </w:pPr>
            <w:r>
              <w:rPr>
                <w:rFonts w:ascii="??_GB2312" w:hAnsi="Arial" w:eastAsia="Times New Roman" w:cs="Arial"/>
                <w:szCs w:val="21"/>
              </w:rPr>
              <w:t>3</w:t>
            </w:r>
          </w:p>
        </w:tc>
        <w:tc>
          <w:tcPr>
            <w:tcW w:w="1066" w:type="dxa"/>
            <w:vAlign w:val="center"/>
          </w:tcPr>
          <w:p>
            <w:pPr>
              <w:jc w:val="center"/>
              <w:rPr>
                <w:rFonts w:ascii="??_GB2312" w:hAnsi="Arial" w:eastAsia="Times New Roman" w:cs="Arial"/>
                <w:szCs w:val="21"/>
              </w:rPr>
            </w:pPr>
            <w:r>
              <w:rPr>
                <w:rFonts w:ascii="??_GB2312" w:hAnsi="Arial" w:eastAsia="Times New Roman" w:cs="Arial"/>
                <w:szCs w:val="21"/>
              </w:rPr>
              <w:t>15</w:t>
            </w:r>
          </w:p>
        </w:tc>
        <w:tc>
          <w:tcPr>
            <w:tcW w:w="1234" w:type="dxa"/>
            <w:vAlign w:val="center"/>
          </w:tcPr>
          <w:p>
            <w:pPr>
              <w:jc w:val="center"/>
              <w:rPr>
                <w:rFonts w:ascii="??_GB2312" w:hAnsi="Arial" w:eastAsia="Times New Roman" w:cs="Arial"/>
                <w:szCs w:val="21"/>
              </w:rPr>
            </w:pPr>
            <w:r>
              <w:rPr>
                <w:rFonts w:ascii="??_GB2312" w:hAnsi="Arial" w:eastAsia="Times New Roman" w:cs="Arial"/>
                <w:szCs w:val="21"/>
              </w:rPr>
              <w:t>10</w:t>
            </w:r>
          </w:p>
        </w:tc>
        <w:tc>
          <w:tcPr>
            <w:tcW w:w="1383" w:type="dxa"/>
            <w:vAlign w:val="center"/>
          </w:tcPr>
          <w:p>
            <w:pPr>
              <w:jc w:val="center"/>
              <w:rPr>
                <w:rFonts w:ascii="??_GB2312" w:hAnsi="Arial" w:eastAsia="Times New Roman" w:cs="Arial"/>
                <w:szCs w:val="21"/>
              </w:rPr>
            </w:pPr>
            <w:r>
              <w:rPr>
                <w:rFonts w:ascii="??_GB2312" w:hAnsi="Arial" w:eastAsia="Times New Roman" w:cs="Arial"/>
                <w:szCs w:val="21"/>
              </w:rPr>
              <w:t>30</w:t>
            </w:r>
          </w:p>
        </w:tc>
        <w:tc>
          <w:tcPr>
            <w:tcW w:w="1730" w:type="dxa"/>
            <w:vMerge w:val="continue"/>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atLeast"/>
          <w:jc w:val="center"/>
        </w:trPr>
        <w:tc>
          <w:tcPr>
            <w:tcW w:w="1094" w:type="dxa"/>
            <w:vMerge w:val="continue"/>
            <w:vAlign w:val="center"/>
          </w:tcPr>
          <w:p>
            <w:pPr>
              <w:jc w:val="center"/>
              <w:rPr>
                <w:rFonts w:ascii="??_GB2312" w:hAnsi="宋体" w:eastAsia="Times New Roman"/>
                <w:szCs w:val="21"/>
              </w:rPr>
            </w:pPr>
          </w:p>
        </w:tc>
        <w:tc>
          <w:tcPr>
            <w:tcW w:w="1619" w:type="dxa"/>
            <w:vAlign w:val="center"/>
          </w:tcPr>
          <w:p>
            <w:pPr>
              <w:jc w:val="center"/>
              <w:rPr>
                <w:rFonts w:ascii="??_GB2312" w:hAnsi="宋体" w:eastAsia="Times New Roman"/>
                <w:szCs w:val="21"/>
              </w:rPr>
            </w:pPr>
            <w:r>
              <w:rPr>
                <w:rFonts w:ascii="??_GB2312" w:hAnsi="宋体" w:eastAsia="Times New Roman"/>
                <w:szCs w:val="21"/>
              </w:rPr>
              <w:t>公共基础</w:t>
            </w:r>
          </w:p>
          <w:p>
            <w:pPr>
              <w:jc w:val="center"/>
              <w:rPr>
                <w:rFonts w:ascii="??_GB2312" w:hAnsi="宋体" w:eastAsia="Times New Roman"/>
                <w:szCs w:val="21"/>
              </w:rPr>
            </w:pPr>
            <w:r>
              <w:rPr>
                <w:rFonts w:ascii="??_GB2312" w:hAnsi="宋体" w:eastAsia="Times New Roman"/>
                <w:szCs w:val="21"/>
              </w:rPr>
              <w:t>学科专业</w:t>
            </w:r>
          </w:p>
        </w:tc>
        <w:tc>
          <w:tcPr>
            <w:tcW w:w="1234" w:type="dxa"/>
            <w:vAlign w:val="center"/>
          </w:tcPr>
          <w:p>
            <w:pPr>
              <w:jc w:val="center"/>
              <w:rPr>
                <w:rFonts w:ascii="??_GB2312" w:hAnsi="Arial" w:eastAsia="Times New Roman" w:cs="Arial"/>
                <w:szCs w:val="21"/>
              </w:rPr>
            </w:pPr>
            <w:r>
              <w:rPr>
                <w:rFonts w:ascii="??_GB2312" w:hAnsi="Arial" w:eastAsia="Times New Roman" w:cs="Arial"/>
                <w:szCs w:val="21"/>
              </w:rPr>
              <w:t>3</w:t>
            </w:r>
          </w:p>
        </w:tc>
        <w:tc>
          <w:tcPr>
            <w:tcW w:w="1066" w:type="dxa"/>
            <w:vAlign w:val="center"/>
          </w:tcPr>
          <w:p>
            <w:pPr>
              <w:jc w:val="center"/>
              <w:rPr>
                <w:rFonts w:ascii="??_GB2312" w:hAnsi="Arial" w:eastAsia="Times New Roman" w:cs="Arial"/>
                <w:szCs w:val="21"/>
              </w:rPr>
            </w:pPr>
            <w:r>
              <w:rPr>
                <w:rFonts w:ascii="??_GB2312" w:hAnsi="Arial" w:eastAsia="Times New Roman" w:cs="Arial"/>
                <w:szCs w:val="21"/>
              </w:rPr>
              <w:t>7</w:t>
            </w:r>
          </w:p>
        </w:tc>
        <w:tc>
          <w:tcPr>
            <w:tcW w:w="1234" w:type="dxa"/>
            <w:vAlign w:val="center"/>
          </w:tcPr>
          <w:p>
            <w:pPr>
              <w:jc w:val="center"/>
              <w:rPr>
                <w:rFonts w:ascii="??_GB2312" w:hAnsi="Arial" w:eastAsia="Times New Roman" w:cs="Arial"/>
                <w:szCs w:val="21"/>
              </w:rPr>
            </w:pPr>
            <w:r>
              <w:rPr>
                <w:rFonts w:ascii="??_GB2312" w:hAnsi="Arial" w:eastAsia="Times New Roman" w:cs="Arial"/>
                <w:szCs w:val="21"/>
              </w:rPr>
              <w:t>10</w:t>
            </w:r>
          </w:p>
        </w:tc>
        <w:tc>
          <w:tcPr>
            <w:tcW w:w="1383" w:type="dxa"/>
            <w:vAlign w:val="center"/>
          </w:tcPr>
          <w:p>
            <w:pPr>
              <w:jc w:val="center"/>
              <w:rPr>
                <w:rFonts w:ascii="??_GB2312" w:hAnsi="Arial" w:eastAsia="Times New Roman" w:cs="Arial"/>
                <w:szCs w:val="21"/>
              </w:rPr>
            </w:pPr>
            <w:r>
              <w:rPr>
                <w:rFonts w:ascii="??_GB2312" w:hAnsi="Arial" w:eastAsia="Times New Roman" w:cs="Arial"/>
                <w:szCs w:val="21"/>
              </w:rPr>
              <w:t>0</w:t>
            </w:r>
          </w:p>
        </w:tc>
        <w:tc>
          <w:tcPr>
            <w:tcW w:w="1730" w:type="dxa"/>
            <w:vMerge w:val="continue"/>
            <w:vAlign w:val="center"/>
          </w:tcPr>
          <w:p>
            <w:pPr>
              <w:rPr>
                <w:rFonts w:ascii="宋体"/>
                <w:szCs w:val="21"/>
              </w:rPr>
            </w:pPr>
          </w:p>
        </w:tc>
      </w:tr>
    </w:tbl>
    <w:p>
      <w:pPr>
        <w:adjustRightInd w:val="0"/>
        <w:snapToGrid w:val="0"/>
        <w:spacing w:line="340" w:lineRule="atLeast"/>
        <w:rPr>
          <w:rFonts w:ascii="??_GB2312" w:hAnsi="宋体" w:eastAsia="Times New Roman" w:cs="宋体"/>
          <w:color w:val="000000"/>
          <w:kern w:val="0"/>
          <w:sz w:val="24"/>
          <w:szCs w:val="24"/>
        </w:rPr>
      </w:pPr>
      <w:r>
        <w:rPr>
          <w:rFonts w:ascii="??_GB2312" w:hAnsi="宋体" w:eastAsia="Times New Roman" w:cs="宋体"/>
          <w:color w:val="000000"/>
          <w:kern w:val="0"/>
          <w:sz w:val="24"/>
          <w:szCs w:val="24"/>
        </w:rPr>
        <w:t>（注：以上所享受待遇类别由学校校务会认定。）</w:t>
      </w:r>
    </w:p>
    <w:p>
      <w:pPr>
        <w:adjustRightInd w:val="0"/>
        <w:snapToGrid w:val="0"/>
        <w:spacing w:line="340" w:lineRule="atLeast"/>
        <w:rPr>
          <w:rFonts w:ascii="??_GB2312" w:hAnsi="宋体" w:eastAsia="Times New Roman" w:cs="宋体"/>
          <w:color w:val="000000"/>
          <w:kern w:val="0"/>
          <w:sz w:val="24"/>
          <w:szCs w:val="24"/>
        </w:rPr>
      </w:pPr>
      <w:r>
        <w:rPr>
          <w:rFonts w:ascii="??_GB2312" w:hAnsi="宋体" w:eastAsia="Times New Roman" w:cs="宋体"/>
          <w:color w:val="000000"/>
          <w:kern w:val="0"/>
          <w:sz w:val="24"/>
          <w:szCs w:val="24"/>
        </w:rPr>
        <w:t>其他待遇：（特殊人才待遇：面议）</w:t>
      </w:r>
    </w:p>
    <w:p>
      <w:pPr>
        <w:adjustRightInd w:val="0"/>
        <w:snapToGrid w:val="0"/>
        <w:spacing w:line="340" w:lineRule="atLeast"/>
        <w:rPr>
          <w:rFonts w:ascii="??_GB2312" w:hAnsi="宋体" w:eastAsia="Times New Roman" w:cs="宋体"/>
          <w:color w:val="000000"/>
          <w:kern w:val="0"/>
          <w:sz w:val="24"/>
          <w:szCs w:val="24"/>
        </w:rPr>
      </w:pPr>
      <w:r>
        <w:rPr>
          <w:rFonts w:ascii="??_GB2312" w:hAnsi="宋体" w:eastAsia="Times New Roman" w:cs="宋体"/>
          <w:color w:val="000000"/>
          <w:kern w:val="0"/>
          <w:sz w:val="24"/>
          <w:szCs w:val="24"/>
        </w:rPr>
        <w:t>1.社会保障福利：引进人才在人事关系到位后，经审核，符合条件的，即可申请参加福州市机关事业单位养老保险。</w:t>
      </w:r>
    </w:p>
    <w:p>
      <w:pPr>
        <w:adjustRightInd w:val="0"/>
        <w:snapToGrid w:val="0"/>
        <w:spacing w:line="340" w:lineRule="atLeast"/>
        <w:rPr>
          <w:rFonts w:ascii="??_GB2312" w:hAnsi="宋体" w:eastAsia="Times New Roman" w:cs="宋体"/>
          <w:color w:val="000000"/>
          <w:kern w:val="0"/>
          <w:sz w:val="24"/>
          <w:szCs w:val="24"/>
        </w:rPr>
      </w:pPr>
      <w:r>
        <w:rPr>
          <w:rFonts w:ascii="??_GB2312" w:hAnsi="宋体" w:eastAsia="Times New Roman" w:cs="宋体"/>
          <w:color w:val="000000"/>
          <w:kern w:val="0"/>
          <w:sz w:val="24"/>
          <w:szCs w:val="24"/>
        </w:rPr>
        <w:t>2.校内住房安排：福州五区（含长乐市）内无房者，在服务年限内可取得学校提供的公寓使用权（每月仅需缴100元-200元）。如获得学校安家费和购房补贴，且在五区（含长乐市）内已购房者，原则上不再享受学校提供的公寓使用权。如有特殊情况需另行申请。</w:t>
      </w:r>
    </w:p>
    <w:p>
      <w:pPr>
        <w:adjustRightInd w:val="0"/>
        <w:snapToGrid w:val="0"/>
        <w:spacing w:line="340" w:lineRule="atLeast"/>
        <w:jc w:val="left"/>
        <w:rPr>
          <w:rFonts w:ascii="仿宋" w:hAnsi="仿宋" w:eastAsia="仿宋" w:cs="仿宋"/>
          <w:sz w:val="24"/>
          <w:szCs w:val="24"/>
        </w:rPr>
      </w:pPr>
      <w:r>
        <w:rPr>
          <w:rFonts w:ascii="??_GB2312" w:hAnsi="宋体" w:eastAsia="Times New Roman" w:cs="宋体"/>
          <w:color w:val="000000"/>
          <w:kern w:val="0"/>
          <w:sz w:val="24"/>
          <w:szCs w:val="24"/>
        </w:rPr>
        <w:t>3.随迁配偶及子女安置：随迁配偶可根据其学历、专业情况，协商酌情考虑安排工作；随迁子女可根据意愿协调教育部门安排优质学校入学入园。</w:t>
      </w:r>
    </w:p>
    <w:p>
      <w:pPr>
        <w:adjustRightInd w:val="0"/>
        <w:snapToGrid w:val="0"/>
        <w:spacing w:line="340" w:lineRule="atLeast"/>
        <w:rPr>
          <w:rFonts w:ascii="??_GB2312" w:hAnsi="宋体" w:eastAsia="Times New Roman" w:cs="宋体"/>
          <w:color w:val="000000"/>
          <w:kern w:val="0"/>
          <w:sz w:val="24"/>
          <w:szCs w:val="24"/>
        </w:rPr>
      </w:pPr>
      <w:r>
        <w:rPr>
          <w:rFonts w:ascii="??_GB2312" w:hAnsi="宋体" w:eastAsia="Times New Roman" w:cs="宋体"/>
          <w:color w:val="000000"/>
          <w:kern w:val="0"/>
          <w:sz w:val="24"/>
          <w:szCs w:val="24"/>
        </w:rPr>
        <w:t>4.入校后可享受校龄贡献津贴，校龄贡献津贴按每年100元标准计入当年每月工资。校龄津贴最高为1000元/月。</w:t>
      </w:r>
    </w:p>
    <w:p>
      <w:pPr>
        <w:spacing w:line="600" w:lineRule="exact"/>
        <w:rPr>
          <w:rFonts w:ascii="??_GB2312" w:eastAsia="Times New Roman"/>
          <w:b/>
          <w:sz w:val="28"/>
          <w:szCs w:val="28"/>
        </w:rPr>
      </w:pPr>
      <w:r>
        <w:rPr>
          <w:rFonts w:ascii="??_GB2312" w:eastAsia="Times New Roman"/>
          <w:b/>
          <w:sz w:val="28"/>
          <w:szCs w:val="28"/>
        </w:rPr>
        <w:t>（二）台湾高层次人才引进待遇</w:t>
      </w:r>
    </w:p>
    <w:tbl>
      <w:tblPr>
        <w:tblStyle w:val="11"/>
        <w:tblW w:w="828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333"/>
        <w:gridCol w:w="2432"/>
        <w:gridCol w:w="2152"/>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5040" w:type="dxa"/>
            <w:gridSpan w:val="3"/>
          </w:tcPr>
          <w:p>
            <w:pPr>
              <w:widowControl/>
              <w:adjustRightInd w:val="0"/>
              <w:snapToGrid w:val="0"/>
              <w:spacing w:line="500" w:lineRule="atLeast"/>
              <w:jc w:val="center"/>
              <w:rPr>
                <w:rFonts w:ascii="??_GB2312" w:eastAsia="Times New Roman"/>
                <w:b/>
                <w:sz w:val="24"/>
                <w:szCs w:val="24"/>
              </w:rPr>
            </w:pPr>
            <w:r>
              <w:rPr>
                <w:rFonts w:ascii="??_GB2312" w:eastAsia="Times New Roman"/>
                <w:b/>
                <w:sz w:val="24"/>
                <w:szCs w:val="24"/>
              </w:rPr>
              <w:t>人才类别</w:t>
            </w:r>
          </w:p>
        </w:tc>
        <w:tc>
          <w:tcPr>
            <w:tcW w:w="3240" w:type="dxa"/>
            <w:gridSpan w:val="2"/>
          </w:tcPr>
          <w:p>
            <w:pPr>
              <w:widowControl/>
              <w:adjustRightInd w:val="0"/>
              <w:snapToGrid w:val="0"/>
              <w:spacing w:line="500" w:lineRule="atLeast"/>
              <w:jc w:val="center"/>
              <w:rPr>
                <w:rFonts w:ascii="??_GB2312" w:eastAsia="Times New Roman"/>
                <w:b/>
                <w:sz w:val="24"/>
                <w:szCs w:val="24"/>
              </w:rPr>
            </w:pPr>
            <w:r>
              <w:rPr>
                <w:rFonts w:ascii="??_GB2312" w:eastAsia="Times New Roman"/>
                <w:b/>
                <w:sz w:val="24"/>
                <w:szCs w:val="24"/>
              </w:rPr>
              <w:t>年薪（税前，人民币万）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1275" w:type="dxa"/>
            <w:vMerge w:val="restart"/>
          </w:tcPr>
          <w:p>
            <w:pPr>
              <w:widowControl/>
              <w:adjustRightInd w:val="0"/>
              <w:snapToGrid w:val="0"/>
              <w:spacing w:line="500" w:lineRule="atLeast"/>
              <w:jc w:val="left"/>
              <w:rPr>
                <w:rFonts w:ascii="??_GB2312" w:eastAsia="Times New Roman"/>
                <w:sz w:val="24"/>
                <w:szCs w:val="24"/>
              </w:rPr>
            </w:pPr>
          </w:p>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第一类学校紧缺急需专业的人才</w:t>
            </w:r>
          </w:p>
        </w:tc>
        <w:tc>
          <w:tcPr>
            <w:tcW w:w="3765" w:type="dxa"/>
            <w:gridSpan w:val="2"/>
            <w:tcBorders>
              <w:top w:val="nil"/>
            </w:tcBorders>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教授</w:t>
            </w:r>
          </w:p>
        </w:tc>
        <w:tc>
          <w:tcPr>
            <w:tcW w:w="3240" w:type="dxa"/>
            <w:gridSpan w:val="2"/>
            <w:tcBorders>
              <w:top w:val="nil"/>
            </w:tcBorders>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3765"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副教授</w:t>
            </w:r>
          </w:p>
        </w:tc>
        <w:tc>
          <w:tcPr>
            <w:tcW w:w="3240" w:type="dxa"/>
            <w:gridSpan w:val="2"/>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3765"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助理教授（博士）</w:t>
            </w:r>
          </w:p>
        </w:tc>
        <w:tc>
          <w:tcPr>
            <w:tcW w:w="3240" w:type="dxa"/>
            <w:gridSpan w:val="2"/>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275" w:type="dxa"/>
            <w:vMerge w:val="restart"/>
          </w:tcPr>
          <w:p>
            <w:pPr>
              <w:widowControl/>
              <w:adjustRightInd w:val="0"/>
              <w:snapToGrid w:val="0"/>
              <w:spacing w:line="500" w:lineRule="atLeast"/>
              <w:jc w:val="left"/>
              <w:rPr>
                <w:rFonts w:ascii="??_GB2312" w:eastAsia="Times New Roman"/>
                <w:sz w:val="24"/>
                <w:szCs w:val="24"/>
              </w:rPr>
            </w:pPr>
          </w:p>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第二类 专业</w:t>
            </w:r>
          </w:p>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学术</w:t>
            </w:r>
          </w:p>
        </w:tc>
        <w:tc>
          <w:tcPr>
            <w:tcW w:w="1333" w:type="dxa"/>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教授</w:t>
            </w:r>
          </w:p>
        </w:tc>
        <w:tc>
          <w:tcPr>
            <w:tcW w:w="4584"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国际博士+专任教授证</w:t>
            </w:r>
          </w:p>
        </w:tc>
        <w:tc>
          <w:tcPr>
            <w:tcW w:w="1088" w:type="dxa"/>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1333" w:type="dxa"/>
          </w:tcPr>
          <w:p>
            <w:pPr>
              <w:widowControl/>
              <w:adjustRightInd w:val="0"/>
              <w:snapToGrid w:val="0"/>
              <w:spacing w:line="500" w:lineRule="atLeast"/>
              <w:jc w:val="left"/>
              <w:rPr>
                <w:rFonts w:ascii="??_GB2312" w:eastAsia="Times New Roman"/>
                <w:sz w:val="24"/>
                <w:szCs w:val="24"/>
              </w:rPr>
            </w:pPr>
          </w:p>
        </w:tc>
        <w:tc>
          <w:tcPr>
            <w:tcW w:w="4584"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台湾公校博士+教授证</w:t>
            </w:r>
          </w:p>
        </w:tc>
        <w:tc>
          <w:tcPr>
            <w:tcW w:w="1088" w:type="dxa"/>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1333" w:type="dxa"/>
          </w:tcPr>
          <w:p>
            <w:pPr>
              <w:widowControl/>
              <w:adjustRightInd w:val="0"/>
              <w:snapToGrid w:val="0"/>
              <w:spacing w:line="500" w:lineRule="atLeast"/>
              <w:jc w:val="left"/>
              <w:rPr>
                <w:rFonts w:ascii="??_GB2312" w:eastAsia="Times New Roman"/>
                <w:sz w:val="24"/>
                <w:szCs w:val="24"/>
              </w:rPr>
            </w:pPr>
          </w:p>
        </w:tc>
        <w:tc>
          <w:tcPr>
            <w:tcW w:w="4584"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台湾民校博士+教授证</w:t>
            </w:r>
          </w:p>
        </w:tc>
        <w:tc>
          <w:tcPr>
            <w:tcW w:w="1088" w:type="dxa"/>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1333" w:type="dxa"/>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副教授</w:t>
            </w:r>
          </w:p>
        </w:tc>
        <w:tc>
          <w:tcPr>
            <w:tcW w:w="4584"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国际博士+副教授证</w:t>
            </w:r>
          </w:p>
        </w:tc>
        <w:tc>
          <w:tcPr>
            <w:tcW w:w="1088" w:type="dxa"/>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1333" w:type="dxa"/>
          </w:tcPr>
          <w:p>
            <w:pPr>
              <w:widowControl/>
              <w:adjustRightInd w:val="0"/>
              <w:snapToGrid w:val="0"/>
              <w:spacing w:line="500" w:lineRule="atLeast"/>
              <w:jc w:val="left"/>
              <w:rPr>
                <w:rFonts w:ascii="??_GB2312" w:eastAsia="Times New Roman"/>
                <w:sz w:val="24"/>
                <w:szCs w:val="24"/>
              </w:rPr>
            </w:pPr>
          </w:p>
        </w:tc>
        <w:tc>
          <w:tcPr>
            <w:tcW w:w="4584"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台湾公校博士+副教授证</w:t>
            </w:r>
          </w:p>
        </w:tc>
        <w:tc>
          <w:tcPr>
            <w:tcW w:w="1088" w:type="dxa"/>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1333" w:type="dxa"/>
          </w:tcPr>
          <w:p>
            <w:pPr>
              <w:widowControl/>
              <w:adjustRightInd w:val="0"/>
              <w:snapToGrid w:val="0"/>
              <w:spacing w:line="500" w:lineRule="atLeast"/>
              <w:jc w:val="left"/>
              <w:rPr>
                <w:rFonts w:ascii="??_GB2312" w:eastAsia="Times New Roman"/>
                <w:sz w:val="24"/>
                <w:szCs w:val="24"/>
              </w:rPr>
            </w:pPr>
          </w:p>
        </w:tc>
        <w:tc>
          <w:tcPr>
            <w:tcW w:w="4584"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台湾民校博士+副教授证</w:t>
            </w:r>
          </w:p>
        </w:tc>
        <w:tc>
          <w:tcPr>
            <w:tcW w:w="1088" w:type="dxa"/>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1333" w:type="dxa"/>
          </w:tcPr>
          <w:p>
            <w:pPr>
              <w:widowControl/>
              <w:adjustRightInd w:val="0"/>
              <w:snapToGrid w:val="0"/>
              <w:spacing w:line="500" w:lineRule="atLeast"/>
              <w:jc w:val="left"/>
              <w:rPr>
                <w:rFonts w:ascii="??_GB2312" w:eastAsia="Times New Roman"/>
                <w:sz w:val="24"/>
                <w:szCs w:val="24"/>
              </w:rPr>
            </w:pPr>
          </w:p>
        </w:tc>
        <w:tc>
          <w:tcPr>
            <w:tcW w:w="4584"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国际博士+助理教授</w:t>
            </w:r>
          </w:p>
        </w:tc>
        <w:tc>
          <w:tcPr>
            <w:tcW w:w="1088" w:type="dxa"/>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1333" w:type="dxa"/>
          </w:tcPr>
          <w:p>
            <w:pPr>
              <w:widowControl/>
              <w:adjustRightInd w:val="0"/>
              <w:snapToGrid w:val="0"/>
              <w:spacing w:line="500" w:lineRule="atLeast"/>
              <w:jc w:val="left"/>
              <w:rPr>
                <w:rFonts w:ascii="??_GB2312" w:eastAsia="Times New Roman"/>
                <w:sz w:val="24"/>
                <w:szCs w:val="24"/>
              </w:rPr>
            </w:pPr>
          </w:p>
        </w:tc>
        <w:tc>
          <w:tcPr>
            <w:tcW w:w="4584"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台湾公校博士+助理教授</w:t>
            </w:r>
          </w:p>
        </w:tc>
        <w:tc>
          <w:tcPr>
            <w:tcW w:w="1088" w:type="dxa"/>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1333" w:type="dxa"/>
          </w:tcPr>
          <w:p>
            <w:pPr>
              <w:widowControl/>
              <w:adjustRightInd w:val="0"/>
              <w:snapToGrid w:val="0"/>
              <w:spacing w:line="500" w:lineRule="atLeast"/>
              <w:jc w:val="left"/>
              <w:rPr>
                <w:rFonts w:ascii="??_GB2312" w:eastAsia="Times New Roman"/>
                <w:sz w:val="24"/>
                <w:szCs w:val="24"/>
              </w:rPr>
            </w:pPr>
          </w:p>
        </w:tc>
        <w:tc>
          <w:tcPr>
            <w:tcW w:w="4584"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台湾民校博士+助理教授</w:t>
            </w:r>
          </w:p>
        </w:tc>
        <w:tc>
          <w:tcPr>
            <w:tcW w:w="1088" w:type="dxa"/>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275" w:type="dxa"/>
            <w:vMerge w:val="restart"/>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第三类专业</w:t>
            </w:r>
          </w:p>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技术</w:t>
            </w:r>
          </w:p>
        </w:tc>
        <w:tc>
          <w:tcPr>
            <w:tcW w:w="1333" w:type="dxa"/>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讲师</w:t>
            </w:r>
          </w:p>
        </w:tc>
        <w:tc>
          <w:tcPr>
            <w:tcW w:w="4584"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国际硕士+国际证书或职业证照</w:t>
            </w:r>
          </w:p>
        </w:tc>
        <w:tc>
          <w:tcPr>
            <w:tcW w:w="1088" w:type="dxa"/>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1333" w:type="dxa"/>
          </w:tcPr>
          <w:p>
            <w:pPr>
              <w:widowControl/>
              <w:adjustRightInd w:val="0"/>
              <w:snapToGrid w:val="0"/>
              <w:spacing w:line="500" w:lineRule="atLeast"/>
              <w:jc w:val="left"/>
              <w:rPr>
                <w:rFonts w:ascii="??_GB2312" w:eastAsia="Times New Roman"/>
                <w:sz w:val="24"/>
                <w:szCs w:val="24"/>
              </w:rPr>
            </w:pPr>
          </w:p>
        </w:tc>
        <w:tc>
          <w:tcPr>
            <w:tcW w:w="4584"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台湾公校硕士+国际证书或职业证照</w:t>
            </w:r>
          </w:p>
        </w:tc>
        <w:tc>
          <w:tcPr>
            <w:tcW w:w="1088" w:type="dxa"/>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1333" w:type="dxa"/>
          </w:tcPr>
          <w:p>
            <w:pPr>
              <w:widowControl/>
              <w:adjustRightInd w:val="0"/>
              <w:snapToGrid w:val="0"/>
              <w:spacing w:line="500" w:lineRule="atLeast"/>
              <w:jc w:val="left"/>
              <w:rPr>
                <w:rFonts w:ascii="??_GB2312" w:eastAsia="Times New Roman"/>
                <w:sz w:val="24"/>
                <w:szCs w:val="24"/>
              </w:rPr>
            </w:pPr>
          </w:p>
        </w:tc>
        <w:tc>
          <w:tcPr>
            <w:tcW w:w="4584"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台湾民校硕士+国际证书或职业证照</w:t>
            </w:r>
          </w:p>
        </w:tc>
        <w:tc>
          <w:tcPr>
            <w:tcW w:w="1088" w:type="dxa"/>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1333" w:type="dxa"/>
          </w:tcPr>
          <w:p>
            <w:pPr>
              <w:widowControl/>
              <w:adjustRightInd w:val="0"/>
              <w:snapToGrid w:val="0"/>
              <w:spacing w:line="500" w:lineRule="atLeast"/>
              <w:jc w:val="left"/>
              <w:rPr>
                <w:rFonts w:ascii="??_GB2312" w:eastAsia="Times New Roman"/>
                <w:sz w:val="24"/>
                <w:szCs w:val="24"/>
              </w:rPr>
            </w:pPr>
          </w:p>
        </w:tc>
        <w:tc>
          <w:tcPr>
            <w:tcW w:w="4584" w:type="dxa"/>
            <w:gridSpan w:val="2"/>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台湾公校民校硕士+职业证照</w:t>
            </w:r>
          </w:p>
        </w:tc>
        <w:tc>
          <w:tcPr>
            <w:tcW w:w="1088" w:type="dxa"/>
          </w:tcPr>
          <w:p>
            <w:pPr>
              <w:widowControl/>
              <w:adjustRightInd w:val="0"/>
              <w:snapToGrid w:val="0"/>
              <w:spacing w:line="500" w:lineRule="atLeast"/>
              <w:jc w:val="center"/>
              <w:rPr>
                <w:rFonts w:ascii="??_GB2312" w:eastAsia="Times New Roman"/>
                <w:sz w:val="24"/>
                <w:szCs w:val="24"/>
              </w:rPr>
            </w:pPr>
            <w:r>
              <w:rPr>
                <w:rFonts w:ascii="??_GB2312" w:eastAsia="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1275" w:type="dxa"/>
            <w:vMerge w:val="continue"/>
          </w:tcPr>
          <w:p>
            <w:pPr>
              <w:widowControl/>
              <w:adjustRightInd w:val="0"/>
              <w:snapToGrid w:val="0"/>
              <w:spacing w:line="500" w:lineRule="atLeast"/>
              <w:jc w:val="left"/>
              <w:rPr>
                <w:rFonts w:ascii="??_GB2312" w:eastAsia="Times New Roman"/>
                <w:sz w:val="24"/>
                <w:szCs w:val="24"/>
              </w:rPr>
            </w:pPr>
          </w:p>
        </w:tc>
        <w:tc>
          <w:tcPr>
            <w:tcW w:w="7005" w:type="dxa"/>
            <w:gridSpan w:val="4"/>
          </w:tcPr>
          <w:p>
            <w:pPr>
              <w:widowControl/>
              <w:adjustRightInd w:val="0"/>
              <w:snapToGrid w:val="0"/>
              <w:spacing w:line="500" w:lineRule="atLeast"/>
              <w:jc w:val="left"/>
              <w:rPr>
                <w:rFonts w:ascii="??_GB2312" w:eastAsia="Times New Roman"/>
                <w:sz w:val="24"/>
                <w:szCs w:val="24"/>
              </w:rPr>
            </w:pPr>
            <w:r>
              <w:rPr>
                <w:rFonts w:ascii="??_GB2312" w:eastAsia="Times New Roman"/>
                <w:sz w:val="24"/>
                <w:szCs w:val="24"/>
              </w:rPr>
              <w:t>特优技术人员含国际级选手教练一另外协商</w:t>
            </w:r>
          </w:p>
        </w:tc>
      </w:tr>
    </w:tbl>
    <w:p>
      <w:pPr>
        <w:spacing w:line="600" w:lineRule="exact"/>
        <w:ind w:firstLine="31680" w:firstLineChars="200"/>
        <w:rPr>
          <w:rFonts w:ascii="??_GB2312" w:eastAsia="Times New Roman"/>
          <w:sz w:val="24"/>
          <w:szCs w:val="24"/>
        </w:rPr>
      </w:pPr>
      <w:r>
        <w:rPr>
          <w:rFonts w:ascii="??_GB2312" w:eastAsia="Times New Roman"/>
          <w:sz w:val="24"/>
          <w:szCs w:val="24"/>
        </w:rPr>
        <w:t>除高层次人才引进计划的待遇外，学校还将对各层次引进人才采取大力度持续支持培养措施，在科研平台搭建、研究团队组建、国际化培养方面提供富有竞争力的条件待遇和重点支持。</w:t>
      </w:r>
    </w:p>
    <w:p>
      <w:pPr>
        <w:spacing w:line="600" w:lineRule="exact"/>
        <w:ind w:firstLine="31680" w:firstLineChars="200"/>
        <w:rPr>
          <w:rFonts w:ascii="??_GB2312" w:eastAsia="Times New Roman"/>
          <w:b/>
          <w:sz w:val="28"/>
          <w:szCs w:val="28"/>
        </w:rPr>
      </w:pPr>
      <w:r>
        <w:rPr>
          <w:rFonts w:ascii="??_GB2312" w:eastAsia="Times New Roman"/>
          <w:b/>
          <w:sz w:val="28"/>
          <w:szCs w:val="28"/>
        </w:rPr>
        <w:t>（三）其它应聘人员根据《福州外语外贸学院薪酬管理办法》执行。</w:t>
      </w:r>
    </w:p>
    <w:p>
      <w:pPr>
        <w:adjustRightInd w:val="0"/>
        <w:snapToGrid w:val="0"/>
        <w:spacing w:line="540" w:lineRule="atLeast"/>
        <w:rPr>
          <w:rFonts w:ascii="??_GB2312" w:eastAsia="仿宋"/>
          <w:b/>
          <w:sz w:val="28"/>
          <w:szCs w:val="28"/>
        </w:rPr>
      </w:pPr>
      <w:r>
        <w:rPr>
          <w:rFonts w:hint="eastAsia" w:ascii="??_GB2312" w:eastAsia="仿宋"/>
          <w:b/>
          <w:sz w:val="28"/>
          <w:szCs w:val="28"/>
        </w:rPr>
        <w:t>四、报名方式</w:t>
      </w:r>
    </w:p>
    <w:p>
      <w:pPr>
        <w:widowControl/>
        <w:adjustRightInd w:val="0"/>
        <w:snapToGrid w:val="0"/>
        <w:spacing w:line="540" w:lineRule="atLeast"/>
        <w:ind w:firstLine="31680" w:firstLineChars="247"/>
        <w:jc w:val="left"/>
        <w:rPr>
          <w:rFonts w:ascii="??_GB2312" w:eastAsia="仿宋"/>
          <w:sz w:val="28"/>
          <w:szCs w:val="28"/>
        </w:rPr>
      </w:pPr>
      <w:r>
        <w:rPr>
          <w:rFonts w:hint="eastAsia" w:ascii="??_GB2312" w:eastAsia="仿宋"/>
          <w:color w:val="auto"/>
          <w:sz w:val="28"/>
          <w:szCs w:val="28"/>
          <w:u w:val="none"/>
        </w:rPr>
        <w:t>应聘人员可通过电子邮件（</w:t>
      </w:r>
      <w:r>
        <w:rPr>
          <w:rFonts w:ascii="??_GB2312" w:eastAsia="仿宋"/>
          <w:b/>
          <w:color w:val="auto"/>
          <w:sz w:val="28"/>
          <w:szCs w:val="28"/>
          <w:u w:val="none"/>
        </w:rPr>
        <w:t>rsc@fzfu.com</w:t>
      </w:r>
      <w:r>
        <w:rPr>
          <w:rFonts w:hint="eastAsia" w:ascii="??_GB2312" w:eastAsia="仿宋"/>
          <w:b/>
          <w:sz w:val="28"/>
          <w:szCs w:val="28"/>
          <w:lang w:val="en-US" w:eastAsia="zh-CN"/>
        </w:rPr>
        <w:t xml:space="preserve"> 抄送fzwywmxyzp@126.com</w:t>
      </w:r>
      <w:r>
        <w:rPr>
          <w:rFonts w:hint="eastAsia" w:ascii="??_GB2312" w:eastAsia="仿宋"/>
          <w:sz w:val="28"/>
          <w:szCs w:val="28"/>
        </w:rPr>
        <w:t>，须在邮件主题上注明</w:t>
      </w:r>
      <w:r>
        <w:rPr>
          <w:rFonts w:hint="eastAsia" w:ascii="??_GB2312" w:eastAsia="仿宋"/>
          <w:sz w:val="28"/>
          <w:szCs w:val="28"/>
          <w:lang w:eastAsia="zh-CN"/>
        </w:rPr>
        <w:t>：硕博招聘在线、</w:t>
      </w:r>
      <w:r>
        <w:rPr>
          <w:rFonts w:hint="eastAsia" w:ascii="??_GB2312" w:eastAsia="仿宋"/>
          <w:sz w:val="28"/>
          <w:szCs w:val="28"/>
        </w:rPr>
        <w:t>姓名、毕业院校、专业、学历及应聘岗位），交送个人求职简历。求职简历应包含以下内容：</w:t>
      </w:r>
    </w:p>
    <w:p>
      <w:pPr>
        <w:widowControl/>
        <w:adjustRightInd w:val="0"/>
        <w:snapToGrid w:val="0"/>
        <w:spacing w:line="540" w:lineRule="atLeast"/>
        <w:ind w:firstLine="31680" w:firstLineChars="150"/>
        <w:jc w:val="left"/>
        <w:rPr>
          <w:rFonts w:ascii="??_GB2312" w:eastAsia="仿宋"/>
          <w:sz w:val="28"/>
          <w:szCs w:val="28"/>
        </w:rPr>
      </w:pPr>
      <w:r>
        <w:rPr>
          <w:rFonts w:hint="eastAsia" w:ascii="??_GB2312" w:eastAsia="仿宋"/>
          <w:sz w:val="28"/>
          <w:szCs w:val="28"/>
        </w:rPr>
        <w:t>（</w:t>
      </w:r>
      <w:r>
        <w:rPr>
          <w:rFonts w:ascii="??_GB2312" w:eastAsia="仿宋"/>
          <w:sz w:val="28"/>
          <w:szCs w:val="28"/>
        </w:rPr>
        <w:t>1</w:t>
      </w:r>
      <w:r>
        <w:rPr>
          <w:rFonts w:hint="eastAsia" w:ascii="??_GB2312" w:eastAsia="仿宋"/>
          <w:sz w:val="28"/>
          <w:szCs w:val="28"/>
        </w:rPr>
        <w:t>）学习、工作经历及科研情况；</w:t>
      </w:r>
    </w:p>
    <w:p>
      <w:pPr>
        <w:widowControl/>
        <w:adjustRightInd w:val="0"/>
        <w:snapToGrid w:val="0"/>
        <w:spacing w:line="540" w:lineRule="atLeast"/>
        <w:ind w:firstLine="31680" w:firstLineChars="147"/>
        <w:jc w:val="left"/>
        <w:rPr>
          <w:rFonts w:ascii="??_GB2312" w:eastAsia="仿宋"/>
          <w:sz w:val="28"/>
          <w:szCs w:val="28"/>
        </w:rPr>
      </w:pPr>
      <w:r>
        <w:rPr>
          <w:rFonts w:hint="eastAsia" w:ascii="??_GB2312" w:eastAsia="仿宋"/>
          <w:sz w:val="28"/>
          <w:szCs w:val="28"/>
        </w:rPr>
        <w:t>（</w:t>
      </w:r>
      <w:r>
        <w:rPr>
          <w:rFonts w:ascii="??_GB2312" w:eastAsia="仿宋"/>
          <w:sz w:val="28"/>
          <w:szCs w:val="28"/>
        </w:rPr>
        <w:t>2</w:t>
      </w:r>
      <w:r>
        <w:rPr>
          <w:rFonts w:hint="eastAsia" w:ascii="??_GB2312" w:eastAsia="仿宋"/>
          <w:sz w:val="28"/>
          <w:szCs w:val="28"/>
        </w:rPr>
        <w:t>）本科以来的学历学位证书、身份证及其他资格证书复印件（留学人员须附教育部留学服务中心学历认定书）；岗位所要求的其他证明材料（获奖证书、论文、职业资格证书原件及复印件，社会实践、工作经历证明）</w:t>
      </w:r>
      <w:r>
        <w:rPr>
          <w:rFonts w:ascii="??_GB2312" w:eastAsia="仿宋"/>
          <w:sz w:val="28"/>
          <w:szCs w:val="28"/>
        </w:rPr>
        <w:t>;</w:t>
      </w:r>
    </w:p>
    <w:p>
      <w:pPr>
        <w:widowControl/>
        <w:adjustRightInd w:val="0"/>
        <w:snapToGrid w:val="0"/>
        <w:spacing w:line="540" w:lineRule="atLeast"/>
        <w:ind w:firstLine="31680" w:firstLineChars="149"/>
        <w:jc w:val="left"/>
        <w:rPr>
          <w:rFonts w:ascii="??_GB2312" w:eastAsia="仿宋"/>
          <w:sz w:val="28"/>
          <w:szCs w:val="28"/>
        </w:rPr>
      </w:pPr>
      <w:r>
        <w:rPr>
          <w:rFonts w:hint="eastAsia" w:ascii="??_GB2312" w:eastAsia="仿宋"/>
          <w:sz w:val="28"/>
          <w:szCs w:val="28"/>
        </w:rPr>
        <w:t>（</w:t>
      </w:r>
      <w:r>
        <w:rPr>
          <w:rFonts w:ascii="??_GB2312" w:eastAsia="仿宋"/>
          <w:sz w:val="28"/>
          <w:szCs w:val="28"/>
        </w:rPr>
        <w:t>3</w:t>
      </w:r>
      <w:r>
        <w:rPr>
          <w:rFonts w:hint="eastAsia" w:ascii="??_GB2312" w:eastAsia="仿宋"/>
          <w:sz w:val="28"/>
          <w:szCs w:val="28"/>
        </w:rPr>
        <w:t>）属</w:t>
      </w:r>
      <w:r>
        <w:rPr>
          <w:rFonts w:ascii="??_GB2312" w:eastAsia="仿宋"/>
          <w:sz w:val="28"/>
          <w:szCs w:val="28"/>
        </w:rPr>
        <w:t>2017</w:t>
      </w:r>
      <w:r>
        <w:rPr>
          <w:rFonts w:hint="eastAsia" w:ascii="??_GB2312" w:eastAsia="仿宋"/>
          <w:sz w:val="28"/>
          <w:szCs w:val="28"/>
        </w:rPr>
        <w:t>年应届毕业的，国内高校毕业生须提交就业推荐表复印件，国外高校毕业生须提交学校出具的有关证明。</w:t>
      </w:r>
    </w:p>
    <w:p>
      <w:pPr>
        <w:widowControl/>
        <w:adjustRightInd w:val="0"/>
        <w:snapToGrid w:val="0"/>
        <w:spacing w:line="540" w:lineRule="atLeast"/>
        <w:ind w:firstLine="31680" w:firstLineChars="149"/>
        <w:jc w:val="left"/>
        <w:rPr>
          <w:rFonts w:ascii="??_GB2312" w:eastAsia="仿宋"/>
          <w:sz w:val="28"/>
          <w:szCs w:val="28"/>
        </w:rPr>
      </w:pPr>
      <w:r>
        <w:rPr>
          <w:rFonts w:hint="eastAsia" w:ascii="??_GB2312" w:eastAsia="仿宋"/>
          <w:sz w:val="28"/>
          <w:szCs w:val="28"/>
        </w:rPr>
        <w:t>（</w:t>
      </w:r>
      <w:r>
        <w:rPr>
          <w:rFonts w:ascii="??_GB2312" w:eastAsia="仿宋"/>
          <w:sz w:val="28"/>
          <w:szCs w:val="28"/>
        </w:rPr>
        <w:t>4</w:t>
      </w:r>
      <w:r>
        <w:rPr>
          <w:rFonts w:hint="eastAsia" w:ascii="??_GB2312" w:eastAsia="仿宋"/>
          <w:sz w:val="28"/>
          <w:szCs w:val="28"/>
        </w:rPr>
        <w:t>）报名截止日期：</w:t>
      </w:r>
      <w:r>
        <w:rPr>
          <w:rFonts w:ascii="??_GB2312" w:eastAsia="仿宋"/>
          <w:b/>
          <w:bCs/>
          <w:sz w:val="28"/>
          <w:szCs w:val="28"/>
        </w:rPr>
        <w:t>2016</w:t>
      </w:r>
      <w:r>
        <w:rPr>
          <w:rFonts w:hint="eastAsia" w:ascii="??_GB2312" w:eastAsia="仿宋"/>
          <w:b/>
          <w:bCs/>
          <w:sz w:val="28"/>
          <w:szCs w:val="28"/>
        </w:rPr>
        <w:t>年</w:t>
      </w:r>
      <w:r>
        <w:rPr>
          <w:rFonts w:ascii="??_GB2312" w:eastAsia="仿宋"/>
          <w:b/>
          <w:bCs/>
          <w:sz w:val="28"/>
          <w:szCs w:val="28"/>
        </w:rPr>
        <w:t>12</w:t>
      </w:r>
      <w:r>
        <w:rPr>
          <w:rFonts w:hint="eastAsia" w:ascii="??_GB2312" w:eastAsia="仿宋"/>
          <w:b/>
          <w:bCs/>
          <w:sz w:val="28"/>
          <w:szCs w:val="28"/>
        </w:rPr>
        <w:t>月</w:t>
      </w:r>
      <w:r>
        <w:rPr>
          <w:rFonts w:hint="eastAsia" w:ascii="??_GB2312" w:eastAsia="仿宋"/>
          <w:b/>
          <w:bCs/>
          <w:sz w:val="28"/>
          <w:szCs w:val="28"/>
          <w:lang w:val="en-US" w:eastAsia="zh-CN"/>
        </w:rPr>
        <w:t>30</w:t>
      </w:r>
      <w:bookmarkStart w:id="0" w:name="_GoBack"/>
      <w:bookmarkEnd w:id="0"/>
      <w:r>
        <w:rPr>
          <w:rFonts w:hint="eastAsia" w:ascii="??_GB2312" w:eastAsia="仿宋"/>
          <w:b/>
          <w:bCs/>
          <w:sz w:val="28"/>
          <w:szCs w:val="28"/>
        </w:rPr>
        <w:t>日</w:t>
      </w:r>
      <w:r>
        <w:rPr>
          <w:rFonts w:hint="eastAsia" w:ascii="??_GB2312" w:eastAsia="仿宋"/>
          <w:sz w:val="28"/>
          <w:szCs w:val="28"/>
        </w:rPr>
        <w:t>。</w:t>
      </w:r>
    </w:p>
    <w:p>
      <w:pPr>
        <w:widowControl/>
        <w:adjustRightInd w:val="0"/>
        <w:snapToGrid w:val="0"/>
        <w:spacing w:line="540" w:lineRule="atLeast"/>
        <w:ind w:firstLine="31680" w:firstLineChars="198"/>
        <w:jc w:val="left"/>
        <w:rPr>
          <w:rFonts w:ascii="??_GB2312" w:eastAsia="仿宋"/>
          <w:sz w:val="28"/>
          <w:szCs w:val="28"/>
        </w:rPr>
      </w:pPr>
      <w:r>
        <w:rPr>
          <w:rFonts w:hint="eastAsia" w:ascii="??_GB2312" w:eastAsia="仿宋"/>
          <w:sz w:val="28"/>
          <w:szCs w:val="28"/>
        </w:rPr>
        <w:t>应聘人员应如实提交上述材料以备资格审查。弄虚作假者，一经查实即取消应聘资格；已被聘用的，予以解聘，并通知所在单位。</w:t>
      </w:r>
    </w:p>
    <w:p>
      <w:pPr>
        <w:widowControl/>
        <w:adjustRightInd w:val="0"/>
        <w:snapToGrid w:val="0"/>
        <w:spacing w:line="540" w:lineRule="atLeast"/>
        <w:jc w:val="left"/>
        <w:rPr>
          <w:rFonts w:ascii="??_GB2312" w:eastAsia="仿宋"/>
          <w:b/>
          <w:sz w:val="28"/>
          <w:szCs w:val="28"/>
        </w:rPr>
      </w:pPr>
      <w:r>
        <w:rPr>
          <w:rFonts w:hint="eastAsia" w:ascii="??_GB2312" w:eastAsia="仿宋"/>
          <w:b/>
          <w:sz w:val="28"/>
          <w:szCs w:val="28"/>
        </w:rPr>
        <w:t>五、工作、生活条件</w:t>
      </w:r>
    </w:p>
    <w:p>
      <w:pPr>
        <w:widowControl/>
        <w:adjustRightInd w:val="0"/>
        <w:snapToGrid w:val="0"/>
        <w:spacing w:line="540" w:lineRule="atLeast"/>
        <w:ind w:firstLine="31680" w:firstLineChars="200"/>
        <w:jc w:val="left"/>
        <w:rPr>
          <w:rFonts w:ascii="??_GB2312" w:hAnsi="宋体" w:eastAsia="仿宋" w:cs="宋体"/>
          <w:color w:val="000000"/>
          <w:kern w:val="0"/>
          <w:sz w:val="28"/>
          <w:szCs w:val="28"/>
        </w:rPr>
      </w:pPr>
      <w:r>
        <w:rPr>
          <w:rFonts w:ascii="??_GB2312" w:hAnsi="宋体" w:eastAsia="仿宋" w:cs="宋体"/>
          <w:color w:val="000000"/>
          <w:kern w:val="0"/>
          <w:sz w:val="28"/>
          <w:szCs w:val="28"/>
        </w:rPr>
        <w:t>1</w:t>
      </w:r>
      <w:r>
        <w:rPr>
          <w:rFonts w:hint="eastAsia" w:ascii="??_GB2312" w:hAnsi="宋体" w:eastAsia="仿宋" w:cs="宋体"/>
          <w:color w:val="000000"/>
          <w:kern w:val="0"/>
          <w:sz w:val="28"/>
          <w:szCs w:val="28"/>
        </w:rPr>
        <w:t>、学校教工食堂免费提供早、午、晚三餐（含周末）；</w:t>
      </w:r>
    </w:p>
    <w:p>
      <w:pPr>
        <w:widowControl/>
        <w:adjustRightInd w:val="0"/>
        <w:snapToGrid w:val="0"/>
        <w:spacing w:line="540" w:lineRule="atLeast"/>
        <w:ind w:firstLine="31680" w:firstLineChars="200"/>
        <w:jc w:val="left"/>
        <w:rPr>
          <w:rFonts w:ascii="??_GB2312" w:hAnsi="宋体" w:eastAsia="仿宋" w:cs="宋体"/>
          <w:color w:val="000000"/>
          <w:kern w:val="0"/>
          <w:sz w:val="28"/>
          <w:szCs w:val="28"/>
        </w:rPr>
      </w:pPr>
      <w:r>
        <w:rPr>
          <w:rFonts w:ascii="??_GB2312" w:hAnsi="宋体" w:eastAsia="仿宋" w:cs="宋体"/>
          <w:color w:val="000000"/>
          <w:kern w:val="0"/>
          <w:sz w:val="28"/>
          <w:szCs w:val="28"/>
        </w:rPr>
        <w:t>2</w:t>
      </w:r>
      <w:r>
        <w:rPr>
          <w:rFonts w:hint="eastAsia" w:ascii="??_GB2312" w:hAnsi="宋体" w:eastAsia="仿宋" w:cs="宋体"/>
          <w:color w:val="000000"/>
          <w:kern w:val="0"/>
          <w:sz w:val="28"/>
          <w:szCs w:val="28"/>
        </w:rPr>
        <w:t>、福利待遇由节日慰问费、各类慰问礼金、工会活动费及教职工餐费等组成；</w:t>
      </w:r>
    </w:p>
    <w:p>
      <w:pPr>
        <w:widowControl/>
        <w:adjustRightInd w:val="0"/>
        <w:snapToGrid w:val="0"/>
        <w:spacing w:line="540" w:lineRule="atLeast"/>
        <w:jc w:val="left"/>
        <w:rPr>
          <w:rFonts w:ascii="??_GB2312" w:hAnsi="宋体" w:eastAsia="仿宋" w:cs="宋体"/>
          <w:color w:val="000000"/>
          <w:kern w:val="0"/>
          <w:sz w:val="28"/>
          <w:szCs w:val="28"/>
        </w:rPr>
      </w:pPr>
      <w:r>
        <w:rPr>
          <w:rFonts w:ascii="??_GB2312" w:hAnsi="宋体" w:eastAsia="仿宋" w:cs="宋体"/>
          <w:color w:val="000000"/>
          <w:kern w:val="0"/>
          <w:sz w:val="28"/>
          <w:szCs w:val="28"/>
        </w:rPr>
        <w:t xml:space="preserve">    3</w:t>
      </w:r>
      <w:r>
        <w:rPr>
          <w:rFonts w:hint="eastAsia" w:ascii="??_GB2312" w:hAnsi="宋体" w:eastAsia="仿宋" w:cs="宋体"/>
          <w:color w:val="000000"/>
          <w:kern w:val="0"/>
          <w:sz w:val="28"/>
          <w:szCs w:val="28"/>
        </w:rPr>
        <w:t>、福州市区无住房者可提供教职工单身公寓，福州市区有住房者可提供午休房；</w:t>
      </w:r>
    </w:p>
    <w:p>
      <w:pPr>
        <w:widowControl/>
        <w:adjustRightInd w:val="0"/>
        <w:snapToGrid w:val="0"/>
        <w:spacing w:line="540" w:lineRule="atLeast"/>
        <w:ind w:firstLine="31680" w:firstLineChars="200"/>
        <w:jc w:val="left"/>
        <w:rPr>
          <w:rFonts w:ascii="??_GB2312" w:hAnsi="宋体" w:eastAsia="仿宋" w:cs="宋体"/>
          <w:color w:val="000000"/>
          <w:kern w:val="0"/>
          <w:sz w:val="28"/>
          <w:szCs w:val="28"/>
        </w:rPr>
      </w:pPr>
      <w:r>
        <w:rPr>
          <w:rFonts w:ascii="??_GB2312" w:hAnsi="宋体" w:eastAsia="仿宋" w:cs="宋体"/>
          <w:color w:val="000000"/>
          <w:kern w:val="0"/>
          <w:sz w:val="28"/>
          <w:szCs w:val="28"/>
        </w:rPr>
        <w:t>4</w:t>
      </w:r>
      <w:r>
        <w:rPr>
          <w:rFonts w:hint="eastAsia" w:ascii="??_GB2312" w:hAnsi="宋体" w:eastAsia="仿宋" w:cs="宋体"/>
          <w:color w:val="000000"/>
          <w:kern w:val="0"/>
          <w:sz w:val="28"/>
          <w:szCs w:val="28"/>
        </w:rPr>
        <w:t>、每日七条线路校车由学校至福州市区往返接送。</w:t>
      </w:r>
    </w:p>
    <w:p>
      <w:pPr>
        <w:adjustRightInd w:val="0"/>
        <w:snapToGrid w:val="0"/>
        <w:spacing w:line="540" w:lineRule="atLeast"/>
        <w:rPr>
          <w:rFonts w:ascii="??_GB2312" w:hAnsi="宋体" w:eastAsia="仿宋" w:cs="宋体"/>
          <w:b/>
          <w:bCs/>
          <w:color w:val="000000"/>
          <w:kern w:val="0"/>
          <w:sz w:val="28"/>
          <w:szCs w:val="28"/>
        </w:rPr>
      </w:pPr>
      <w:r>
        <w:rPr>
          <w:rFonts w:hint="eastAsia" w:ascii="??_GB2312" w:hAnsi="宋体" w:eastAsia="仿宋" w:cs="宋体"/>
          <w:b/>
          <w:bCs/>
          <w:color w:val="000000"/>
          <w:kern w:val="0"/>
          <w:sz w:val="28"/>
          <w:szCs w:val="28"/>
        </w:rPr>
        <w:t>六、联系方式</w:t>
      </w:r>
    </w:p>
    <w:p>
      <w:pPr>
        <w:adjustRightInd w:val="0"/>
        <w:snapToGrid w:val="0"/>
        <w:spacing w:line="540" w:lineRule="atLeast"/>
        <w:ind w:firstLine="31680" w:firstLineChars="150"/>
        <w:rPr>
          <w:rFonts w:ascii="??_GB2312" w:hAnsi="宋体" w:eastAsia="仿宋" w:cs="宋体"/>
          <w:color w:val="000000"/>
          <w:kern w:val="0"/>
          <w:sz w:val="28"/>
          <w:szCs w:val="28"/>
        </w:rPr>
      </w:pPr>
      <w:r>
        <w:rPr>
          <w:rFonts w:hint="eastAsia" w:ascii="??_GB2312" w:hAnsi="宋体" w:eastAsia="仿宋" w:cs="宋体"/>
          <w:color w:val="000000"/>
          <w:kern w:val="0"/>
          <w:sz w:val="28"/>
          <w:szCs w:val="28"/>
        </w:rPr>
        <w:t>学校地址：福建省长乐市首占新区育环路</w:t>
      </w:r>
      <w:r>
        <w:rPr>
          <w:rFonts w:ascii="??_GB2312" w:hAnsi="宋体" w:eastAsia="仿宋" w:cs="宋体"/>
          <w:color w:val="000000"/>
          <w:kern w:val="0"/>
          <w:sz w:val="28"/>
          <w:szCs w:val="28"/>
        </w:rPr>
        <w:t>28</w:t>
      </w:r>
      <w:r>
        <w:rPr>
          <w:rFonts w:hint="eastAsia" w:ascii="??_GB2312" w:hAnsi="宋体" w:eastAsia="仿宋" w:cs="宋体"/>
          <w:color w:val="000000"/>
          <w:kern w:val="0"/>
          <w:sz w:val="28"/>
          <w:szCs w:val="28"/>
        </w:rPr>
        <w:t>号</w:t>
      </w:r>
      <w:r>
        <w:rPr>
          <w:rFonts w:ascii="??_GB2312" w:hAnsi="宋体" w:eastAsia="仿宋" w:cs="宋体"/>
          <w:color w:val="000000"/>
          <w:kern w:val="0"/>
          <w:sz w:val="28"/>
          <w:szCs w:val="28"/>
        </w:rPr>
        <w:t xml:space="preserve">  </w:t>
      </w:r>
      <w:r>
        <w:rPr>
          <w:rFonts w:hint="eastAsia" w:ascii="??_GB2312" w:hAnsi="宋体" w:eastAsia="仿宋" w:cs="宋体"/>
          <w:color w:val="000000"/>
          <w:kern w:val="0"/>
          <w:sz w:val="28"/>
          <w:szCs w:val="28"/>
        </w:rPr>
        <w:t>邮编：</w:t>
      </w:r>
      <w:r>
        <w:rPr>
          <w:rFonts w:ascii="??_GB2312" w:hAnsi="宋体" w:eastAsia="仿宋" w:cs="宋体"/>
          <w:color w:val="000000"/>
          <w:kern w:val="0"/>
          <w:sz w:val="28"/>
          <w:szCs w:val="28"/>
        </w:rPr>
        <w:t>350202</w:t>
      </w:r>
    </w:p>
    <w:p>
      <w:pPr>
        <w:adjustRightInd w:val="0"/>
        <w:snapToGrid w:val="0"/>
        <w:spacing w:line="540" w:lineRule="atLeast"/>
        <w:ind w:firstLine="31680" w:firstLineChars="150"/>
        <w:rPr>
          <w:rFonts w:ascii="??_GB2312" w:hAnsi="宋体" w:eastAsia="仿宋" w:cs="宋体"/>
          <w:color w:val="000000"/>
          <w:kern w:val="0"/>
          <w:sz w:val="28"/>
          <w:szCs w:val="28"/>
        </w:rPr>
      </w:pPr>
      <w:r>
        <w:rPr>
          <w:rFonts w:hint="eastAsia" w:ascii="??_GB2312" w:hAnsi="宋体" w:eastAsia="仿宋" w:cs="宋体"/>
          <w:color w:val="000000"/>
          <w:kern w:val="0"/>
          <w:sz w:val="28"/>
          <w:szCs w:val="28"/>
        </w:rPr>
        <w:t>联系人：贺老师、林老师</w:t>
      </w:r>
    </w:p>
    <w:p>
      <w:pPr>
        <w:adjustRightInd w:val="0"/>
        <w:snapToGrid w:val="0"/>
        <w:spacing w:line="540" w:lineRule="atLeast"/>
        <w:ind w:firstLine="31680" w:firstLineChars="150"/>
        <w:rPr>
          <w:rFonts w:ascii="??_GB2312" w:hAnsi="宋体" w:eastAsia="仿宋" w:cs="宋体"/>
          <w:color w:val="000000"/>
          <w:kern w:val="0"/>
          <w:sz w:val="28"/>
          <w:szCs w:val="28"/>
        </w:rPr>
      </w:pPr>
      <w:r>
        <w:rPr>
          <w:rFonts w:hint="eastAsia" w:ascii="??_GB2312" w:hAnsi="宋体" w:eastAsia="仿宋" w:cs="宋体"/>
          <w:color w:val="000000"/>
          <w:kern w:val="0"/>
          <w:sz w:val="28"/>
          <w:szCs w:val="28"/>
        </w:rPr>
        <w:t>联系电话：</w:t>
      </w:r>
      <w:r>
        <w:rPr>
          <w:rFonts w:ascii="??_GB2312" w:hAnsi="宋体" w:eastAsia="仿宋" w:cs="宋体"/>
          <w:color w:val="000000"/>
          <w:kern w:val="0"/>
          <w:sz w:val="28"/>
          <w:szCs w:val="28"/>
        </w:rPr>
        <w:t>0591-27561010</w:t>
      </w:r>
      <w:r>
        <w:rPr>
          <w:rFonts w:hint="eastAsia" w:ascii="??_GB2312" w:hAnsi="宋体" w:eastAsia="仿宋" w:cs="宋体"/>
          <w:color w:val="000000"/>
          <w:kern w:val="0"/>
          <w:sz w:val="28"/>
          <w:szCs w:val="28"/>
        </w:rPr>
        <w:t>、</w:t>
      </w:r>
      <w:r>
        <w:rPr>
          <w:rFonts w:ascii="??_GB2312" w:hAnsi="宋体" w:eastAsia="仿宋" w:cs="宋体"/>
          <w:color w:val="000000"/>
          <w:kern w:val="0"/>
          <w:sz w:val="28"/>
          <w:szCs w:val="28"/>
        </w:rPr>
        <w:t>27561011</w:t>
      </w:r>
    </w:p>
    <w:p>
      <w:pPr>
        <w:adjustRightInd w:val="0"/>
        <w:snapToGrid w:val="0"/>
        <w:spacing w:line="540" w:lineRule="atLeast"/>
        <w:ind w:firstLine="31680" w:firstLineChars="150"/>
        <w:rPr>
          <w:rFonts w:ascii="??_GB2312" w:hAnsi="宋体" w:eastAsia="仿宋" w:cs="宋体"/>
          <w:color w:val="000000"/>
          <w:kern w:val="0"/>
          <w:sz w:val="28"/>
          <w:szCs w:val="28"/>
        </w:rPr>
      </w:pPr>
      <w:r>
        <w:rPr>
          <w:rFonts w:ascii="??_GB2312" w:hAnsi="宋体" w:eastAsia="仿宋" w:cs="宋体"/>
          <w:color w:val="000000"/>
          <w:kern w:val="0"/>
          <w:sz w:val="28"/>
          <w:szCs w:val="28"/>
        </w:rPr>
        <w:t>15750820819</w:t>
      </w:r>
      <w:r>
        <w:rPr>
          <w:rFonts w:hint="eastAsia" w:ascii="??_GB2312" w:hAnsi="宋体" w:eastAsia="仿宋" w:cs="宋体"/>
          <w:color w:val="000000"/>
          <w:kern w:val="0"/>
          <w:sz w:val="28"/>
          <w:szCs w:val="28"/>
        </w:rPr>
        <w:t>（贺）、</w:t>
      </w:r>
      <w:r>
        <w:rPr>
          <w:rFonts w:ascii="??_GB2312" w:hAnsi="宋体" w:eastAsia="仿宋" w:cs="宋体"/>
          <w:color w:val="000000"/>
          <w:kern w:val="0"/>
          <w:sz w:val="28"/>
          <w:szCs w:val="28"/>
        </w:rPr>
        <w:t>15306071999</w:t>
      </w:r>
      <w:r>
        <w:rPr>
          <w:rFonts w:hint="eastAsia" w:ascii="??_GB2312" w:hAnsi="宋体" w:eastAsia="仿宋" w:cs="宋体"/>
          <w:color w:val="000000"/>
          <w:kern w:val="0"/>
          <w:sz w:val="28"/>
          <w:szCs w:val="28"/>
        </w:rPr>
        <w:t>（林）</w:t>
      </w:r>
      <w:r>
        <w:rPr>
          <w:rFonts w:ascii="??_GB2312" w:hAnsi="宋体" w:eastAsia="仿宋" w:cs="宋体"/>
          <w:color w:val="000000"/>
          <w:kern w:val="0"/>
          <w:sz w:val="28"/>
          <w:szCs w:val="28"/>
        </w:rPr>
        <w:t>   </w:t>
      </w:r>
    </w:p>
    <w:p>
      <w:pPr>
        <w:adjustRightInd w:val="0"/>
        <w:snapToGrid w:val="0"/>
        <w:spacing w:line="540" w:lineRule="atLeast"/>
        <w:ind w:firstLine="31680" w:firstLineChars="150"/>
        <w:rPr>
          <w:rFonts w:ascii="??_GB2312" w:hAnsi="宋体" w:eastAsia="仿宋" w:cs="宋体"/>
          <w:color w:val="000000"/>
          <w:kern w:val="0"/>
          <w:sz w:val="28"/>
          <w:szCs w:val="28"/>
        </w:rPr>
      </w:pPr>
      <w:r>
        <w:rPr>
          <w:rFonts w:hint="eastAsia" w:ascii="??_GB2312" w:hAnsi="宋体" w:eastAsia="仿宋" w:cs="宋体"/>
          <w:color w:val="000000"/>
          <w:kern w:val="0"/>
          <w:sz w:val="28"/>
          <w:szCs w:val="28"/>
        </w:rPr>
        <w:t>官方网站：</w:t>
      </w:r>
      <w:r>
        <w:rPr>
          <w:rFonts w:ascii="??_GB2312" w:hAnsi="宋体" w:eastAsia="仿宋" w:cs="宋体"/>
          <w:color w:val="000000"/>
          <w:kern w:val="0"/>
          <w:sz w:val="28"/>
          <w:szCs w:val="28"/>
        </w:rPr>
        <w:t>www.fzfu.com</w:t>
      </w:r>
    </w:p>
    <w:sectPr>
      <w:footerReference r:id="rId3" w:type="default"/>
      <w:pgSz w:w="11906" w:h="16838"/>
      <w:pgMar w:top="851" w:right="1797" w:bottom="85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Arial">
    <w:panose1 w:val="020B0604020202020204"/>
    <w:charset w:val="00"/>
    <w:family w:val="swiss"/>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pPr>
                  <w:snapToGrid w:val="0"/>
                  <w:rPr>
                    <w:sz w:val="18"/>
                  </w:rPr>
                </w:pPr>
                <w:r>
                  <w:fldChar w:fldCharType="begin"/>
                </w:r>
                <w:r>
                  <w:instrText xml:space="preserve"> PAGE  \* MERGEFORMAT </w:instrText>
                </w:r>
                <w:r>
                  <w:fldChar w:fldCharType="separate"/>
                </w:r>
                <w:r>
                  <w:rPr>
                    <w:sz w:val="18"/>
                  </w:rPr>
                  <w:t>7</w:t>
                </w:r>
                <w:r>
                  <w:rPr>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42431"/>
    <w:multiLevelType w:val="singleLevel"/>
    <w:tmpl w:val="57B42431"/>
    <w:lvl w:ilvl="0" w:tentative="0">
      <w:start w:val="1"/>
      <w:numFmt w:val="chineseCounting"/>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4144C"/>
    <w:rsid w:val="00005D12"/>
    <w:rsid w:val="0001377B"/>
    <w:rsid w:val="000145B8"/>
    <w:rsid w:val="00016E8E"/>
    <w:rsid w:val="00022979"/>
    <w:rsid w:val="00044FFD"/>
    <w:rsid w:val="00063B0C"/>
    <w:rsid w:val="000A37FB"/>
    <w:rsid w:val="000A6848"/>
    <w:rsid w:val="000B55D9"/>
    <w:rsid w:val="000C2207"/>
    <w:rsid w:val="000D4BD2"/>
    <w:rsid w:val="00107ABC"/>
    <w:rsid w:val="001127DD"/>
    <w:rsid w:val="00123E35"/>
    <w:rsid w:val="00124FE7"/>
    <w:rsid w:val="00137553"/>
    <w:rsid w:val="00144DAE"/>
    <w:rsid w:val="001461CC"/>
    <w:rsid w:val="00171697"/>
    <w:rsid w:val="001728AA"/>
    <w:rsid w:val="0018023F"/>
    <w:rsid w:val="00192104"/>
    <w:rsid w:val="0019453A"/>
    <w:rsid w:val="001A5E89"/>
    <w:rsid w:val="001B54A5"/>
    <w:rsid w:val="001C4D2C"/>
    <w:rsid w:val="001C6875"/>
    <w:rsid w:val="001D0347"/>
    <w:rsid w:val="00203E08"/>
    <w:rsid w:val="00206949"/>
    <w:rsid w:val="00212488"/>
    <w:rsid w:val="00217B9C"/>
    <w:rsid w:val="00241F84"/>
    <w:rsid w:val="00243840"/>
    <w:rsid w:val="002674ED"/>
    <w:rsid w:val="002C469D"/>
    <w:rsid w:val="002C75C9"/>
    <w:rsid w:val="002D1E85"/>
    <w:rsid w:val="002D3A36"/>
    <w:rsid w:val="002D3C5F"/>
    <w:rsid w:val="00305CDA"/>
    <w:rsid w:val="00325FE3"/>
    <w:rsid w:val="00326FD3"/>
    <w:rsid w:val="003551A1"/>
    <w:rsid w:val="003A3D7A"/>
    <w:rsid w:val="003A616E"/>
    <w:rsid w:val="003D35BC"/>
    <w:rsid w:val="003D5D79"/>
    <w:rsid w:val="003F1153"/>
    <w:rsid w:val="00405499"/>
    <w:rsid w:val="00413B7F"/>
    <w:rsid w:val="00417402"/>
    <w:rsid w:val="0044413C"/>
    <w:rsid w:val="00456AAD"/>
    <w:rsid w:val="0046106D"/>
    <w:rsid w:val="004749A4"/>
    <w:rsid w:val="0048034B"/>
    <w:rsid w:val="00494C32"/>
    <w:rsid w:val="00497C38"/>
    <w:rsid w:val="004B46B9"/>
    <w:rsid w:val="004B545C"/>
    <w:rsid w:val="004E3B6E"/>
    <w:rsid w:val="004E7121"/>
    <w:rsid w:val="004F66B7"/>
    <w:rsid w:val="0053106F"/>
    <w:rsid w:val="00542AD2"/>
    <w:rsid w:val="00546987"/>
    <w:rsid w:val="00550875"/>
    <w:rsid w:val="005621E1"/>
    <w:rsid w:val="00565E5D"/>
    <w:rsid w:val="00566387"/>
    <w:rsid w:val="005720C8"/>
    <w:rsid w:val="00597545"/>
    <w:rsid w:val="005B0274"/>
    <w:rsid w:val="005B4B6C"/>
    <w:rsid w:val="005B5E35"/>
    <w:rsid w:val="005C5B03"/>
    <w:rsid w:val="005D78D5"/>
    <w:rsid w:val="005E0279"/>
    <w:rsid w:val="0060124A"/>
    <w:rsid w:val="00616E4E"/>
    <w:rsid w:val="006309CB"/>
    <w:rsid w:val="00675800"/>
    <w:rsid w:val="0069131E"/>
    <w:rsid w:val="00693CDA"/>
    <w:rsid w:val="006D2031"/>
    <w:rsid w:val="00712ADA"/>
    <w:rsid w:val="00714B27"/>
    <w:rsid w:val="00721A9E"/>
    <w:rsid w:val="007277BF"/>
    <w:rsid w:val="00731167"/>
    <w:rsid w:val="00731327"/>
    <w:rsid w:val="0075402D"/>
    <w:rsid w:val="00774C5F"/>
    <w:rsid w:val="007A2767"/>
    <w:rsid w:val="007A65D5"/>
    <w:rsid w:val="007B1FEA"/>
    <w:rsid w:val="007D060A"/>
    <w:rsid w:val="007F119D"/>
    <w:rsid w:val="00804417"/>
    <w:rsid w:val="00822F49"/>
    <w:rsid w:val="0083082D"/>
    <w:rsid w:val="00870AE4"/>
    <w:rsid w:val="00873E8B"/>
    <w:rsid w:val="00884543"/>
    <w:rsid w:val="008A7CDF"/>
    <w:rsid w:val="008B6A82"/>
    <w:rsid w:val="00900061"/>
    <w:rsid w:val="00910761"/>
    <w:rsid w:val="00922506"/>
    <w:rsid w:val="0095335E"/>
    <w:rsid w:val="00963AB5"/>
    <w:rsid w:val="00970D65"/>
    <w:rsid w:val="00973BBC"/>
    <w:rsid w:val="00987F40"/>
    <w:rsid w:val="00990D38"/>
    <w:rsid w:val="0099276A"/>
    <w:rsid w:val="009A6D80"/>
    <w:rsid w:val="009B4099"/>
    <w:rsid w:val="009C5ABE"/>
    <w:rsid w:val="009D3A12"/>
    <w:rsid w:val="009D50E5"/>
    <w:rsid w:val="009F5601"/>
    <w:rsid w:val="00A00AF6"/>
    <w:rsid w:val="00A1267A"/>
    <w:rsid w:val="00A21223"/>
    <w:rsid w:val="00A25A27"/>
    <w:rsid w:val="00A32E97"/>
    <w:rsid w:val="00A469B6"/>
    <w:rsid w:val="00A46B8F"/>
    <w:rsid w:val="00A613C5"/>
    <w:rsid w:val="00A776A6"/>
    <w:rsid w:val="00AB6BD8"/>
    <w:rsid w:val="00AD028A"/>
    <w:rsid w:val="00B017C8"/>
    <w:rsid w:val="00B05323"/>
    <w:rsid w:val="00B137FB"/>
    <w:rsid w:val="00B33A11"/>
    <w:rsid w:val="00B5464E"/>
    <w:rsid w:val="00B60797"/>
    <w:rsid w:val="00B7021E"/>
    <w:rsid w:val="00BA21AD"/>
    <w:rsid w:val="00BA301F"/>
    <w:rsid w:val="00BE1CCD"/>
    <w:rsid w:val="00C149EA"/>
    <w:rsid w:val="00C22F19"/>
    <w:rsid w:val="00C345E4"/>
    <w:rsid w:val="00C57B86"/>
    <w:rsid w:val="00C83866"/>
    <w:rsid w:val="00C87366"/>
    <w:rsid w:val="00CA465D"/>
    <w:rsid w:val="00CA60E9"/>
    <w:rsid w:val="00CC3508"/>
    <w:rsid w:val="00CC4104"/>
    <w:rsid w:val="00CC47CF"/>
    <w:rsid w:val="00CE6446"/>
    <w:rsid w:val="00D0500D"/>
    <w:rsid w:val="00D576E3"/>
    <w:rsid w:val="00D60C3A"/>
    <w:rsid w:val="00D751B5"/>
    <w:rsid w:val="00D77E25"/>
    <w:rsid w:val="00D8114B"/>
    <w:rsid w:val="00DB4F5A"/>
    <w:rsid w:val="00DD2D89"/>
    <w:rsid w:val="00E22D79"/>
    <w:rsid w:val="00E3208E"/>
    <w:rsid w:val="00E32A0A"/>
    <w:rsid w:val="00E34C4F"/>
    <w:rsid w:val="00E37479"/>
    <w:rsid w:val="00E3793B"/>
    <w:rsid w:val="00E4302C"/>
    <w:rsid w:val="00E47047"/>
    <w:rsid w:val="00E51717"/>
    <w:rsid w:val="00E52708"/>
    <w:rsid w:val="00E53EBD"/>
    <w:rsid w:val="00E54936"/>
    <w:rsid w:val="00E62717"/>
    <w:rsid w:val="00E66AC3"/>
    <w:rsid w:val="00E754E9"/>
    <w:rsid w:val="00E858C3"/>
    <w:rsid w:val="00E92CA4"/>
    <w:rsid w:val="00EA6073"/>
    <w:rsid w:val="00EC26DD"/>
    <w:rsid w:val="00ED153F"/>
    <w:rsid w:val="00EE461C"/>
    <w:rsid w:val="00EF7E47"/>
    <w:rsid w:val="00F024AC"/>
    <w:rsid w:val="00F03639"/>
    <w:rsid w:val="00F04AA1"/>
    <w:rsid w:val="00F2152E"/>
    <w:rsid w:val="00F36262"/>
    <w:rsid w:val="00F4144C"/>
    <w:rsid w:val="00F515A8"/>
    <w:rsid w:val="00F62095"/>
    <w:rsid w:val="00F7029F"/>
    <w:rsid w:val="00F84E2E"/>
    <w:rsid w:val="00F9151E"/>
    <w:rsid w:val="00FB4696"/>
    <w:rsid w:val="00FC0385"/>
    <w:rsid w:val="00FD45AC"/>
    <w:rsid w:val="00FE7FE3"/>
    <w:rsid w:val="02DE6563"/>
    <w:rsid w:val="06B06AC4"/>
    <w:rsid w:val="087C68AE"/>
    <w:rsid w:val="0E8D3EEF"/>
    <w:rsid w:val="0F103A65"/>
    <w:rsid w:val="10555A7E"/>
    <w:rsid w:val="13021C90"/>
    <w:rsid w:val="13BE2F2E"/>
    <w:rsid w:val="177F01D1"/>
    <w:rsid w:val="18C80A6D"/>
    <w:rsid w:val="199F3C98"/>
    <w:rsid w:val="1AB47850"/>
    <w:rsid w:val="1B191EB6"/>
    <w:rsid w:val="1DA66A93"/>
    <w:rsid w:val="1FD32A3A"/>
    <w:rsid w:val="210730B9"/>
    <w:rsid w:val="21276096"/>
    <w:rsid w:val="220E037D"/>
    <w:rsid w:val="272878D1"/>
    <w:rsid w:val="294B0A25"/>
    <w:rsid w:val="38510C92"/>
    <w:rsid w:val="387C7533"/>
    <w:rsid w:val="3B0E15B4"/>
    <w:rsid w:val="3B3C6321"/>
    <w:rsid w:val="3C053A08"/>
    <w:rsid w:val="3EEF6973"/>
    <w:rsid w:val="40867ACC"/>
    <w:rsid w:val="41582538"/>
    <w:rsid w:val="43AD2358"/>
    <w:rsid w:val="44FB506B"/>
    <w:rsid w:val="479D37F6"/>
    <w:rsid w:val="49C27830"/>
    <w:rsid w:val="4D342070"/>
    <w:rsid w:val="51B117B5"/>
    <w:rsid w:val="526C22FB"/>
    <w:rsid w:val="54C717B3"/>
    <w:rsid w:val="5E8575C5"/>
    <w:rsid w:val="5E8B5E92"/>
    <w:rsid w:val="63A22543"/>
    <w:rsid w:val="649E3510"/>
    <w:rsid w:val="6B414131"/>
    <w:rsid w:val="6DB74B0F"/>
    <w:rsid w:val="6ED16D0F"/>
    <w:rsid w:val="701309B6"/>
    <w:rsid w:val="735254C3"/>
    <w:rsid w:val="74DE7A32"/>
    <w:rsid w:val="77786F87"/>
    <w:rsid w:val="78DA6036"/>
    <w:rsid w:val="7BB279E4"/>
    <w:rsid w:val="7FFF0A7F"/>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99"/>
    <w:pPr>
      <w:keepNext/>
      <w:keepLines/>
      <w:spacing w:before="340" w:after="330" w:line="578" w:lineRule="auto"/>
      <w:outlineLvl w:val="0"/>
    </w:pPr>
    <w:rPr>
      <w:rFonts w:ascii="Times New Roman" w:hAnsi="Times New Roman"/>
      <w:b/>
      <w:bCs/>
      <w:kern w:val="44"/>
      <w:sz w:val="44"/>
      <w:szCs w:val="44"/>
    </w:rPr>
  </w:style>
  <w:style w:type="character" w:default="1" w:styleId="6">
    <w:name w:val="Default Paragraph Font"/>
    <w:semiHidden/>
    <w:qFormat/>
    <w:uiPriority w:val="99"/>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4"/>
    <w:qFormat/>
    <w:uiPriority w:val="99"/>
    <w:rPr>
      <w:sz w:val="18"/>
      <w:szCs w:val="18"/>
    </w:rPr>
  </w:style>
  <w:style w:type="paragraph" w:styleId="4">
    <w:name w:val="footer"/>
    <w:basedOn w:val="1"/>
    <w:link w:val="15"/>
    <w:uiPriority w:val="99"/>
    <w:pPr>
      <w:tabs>
        <w:tab w:val="center" w:pos="4153"/>
        <w:tab w:val="right" w:pos="8306"/>
      </w:tabs>
      <w:snapToGrid w:val="0"/>
      <w:jc w:val="left"/>
    </w:pPr>
    <w:rPr>
      <w:sz w:val="18"/>
      <w:szCs w:val="18"/>
    </w:rPr>
  </w:style>
  <w:style w:type="paragraph" w:styleId="5">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99"/>
    <w:rPr>
      <w:rFonts w:cs="Times New Roman"/>
      <w:b/>
      <w:bCs/>
    </w:rPr>
  </w:style>
  <w:style w:type="character" w:styleId="8">
    <w:name w:val="page number"/>
    <w:basedOn w:val="6"/>
    <w:qFormat/>
    <w:uiPriority w:val="99"/>
    <w:rPr>
      <w:rFonts w:cs="Times New Roman"/>
    </w:rPr>
  </w:style>
  <w:style w:type="character" w:styleId="9">
    <w:name w:val="Emphasis"/>
    <w:basedOn w:val="6"/>
    <w:qFormat/>
    <w:uiPriority w:val="99"/>
    <w:rPr>
      <w:rFonts w:cs="Times New Roman"/>
      <w:i/>
      <w:iCs/>
    </w:rPr>
  </w:style>
  <w:style w:type="character" w:styleId="10">
    <w:name w:val="Hyperlink"/>
    <w:basedOn w:val="6"/>
    <w:uiPriority w:val="99"/>
    <w:rPr>
      <w:rFonts w:cs="Times New Roman"/>
      <w:color w:val="0000FF"/>
      <w:u w:val="single"/>
    </w:rPr>
  </w:style>
  <w:style w:type="table" w:styleId="12">
    <w:name w:val="Table Grid"/>
    <w:basedOn w:val="11"/>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Heading 1 Char"/>
    <w:basedOn w:val="6"/>
    <w:link w:val="2"/>
    <w:qFormat/>
    <w:locked/>
    <w:uiPriority w:val="99"/>
    <w:rPr>
      <w:rFonts w:ascii="Times New Roman" w:hAnsi="Times New Roman" w:eastAsia="宋体" w:cs="Times New Roman"/>
      <w:b/>
      <w:bCs/>
      <w:kern w:val="44"/>
      <w:sz w:val="44"/>
      <w:szCs w:val="44"/>
    </w:rPr>
  </w:style>
  <w:style w:type="character" w:customStyle="1" w:styleId="14">
    <w:name w:val="Balloon Text Char"/>
    <w:basedOn w:val="6"/>
    <w:link w:val="3"/>
    <w:semiHidden/>
    <w:locked/>
    <w:uiPriority w:val="99"/>
    <w:rPr>
      <w:rFonts w:ascii="Calibri" w:hAnsi="Calibri" w:eastAsia="宋体" w:cs="Times New Roman"/>
      <w:kern w:val="2"/>
      <w:sz w:val="18"/>
      <w:szCs w:val="18"/>
    </w:rPr>
  </w:style>
  <w:style w:type="character" w:customStyle="1" w:styleId="15">
    <w:name w:val="Footer Char"/>
    <w:basedOn w:val="6"/>
    <w:link w:val="4"/>
    <w:semiHidden/>
    <w:locked/>
    <w:uiPriority w:val="99"/>
    <w:rPr>
      <w:rFonts w:cs="Times New Roman"/>
      <w:sz w:val="18"/>
      <w:szCs w:val="18"/>
    </w:rPr>
  </w:style>
  <w:style w:type="character" w:customStyle="1" w:styleId="16">
    <w:name w:val="Header Char"/>
    <w:basedOn w:val="6"/>
    <w:link w:val="5"/>
    <w:semiHidden/>
    <w:locked/>
    <w:uiPriority w:val="99"/>
    <w:rPr>
      <w:rFonts w:cs="Times New Roman"/>
      <w:sz w:val="18"/>
      <w:szCs w:val="18"/>
    </w:rPr>
  </w:style>
  <w:style w:type="character" w:customStyle="1" w:styleId="17">
    <w:name w:val="apple-converted-space"/>
    <w:basedOn w:val="6"/>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7</Pages>
  <Words>747</Words>
  <Characters>4259</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2015-07-07T09:10:00Z</dcterms:created>
  <dc:creator>王嘉衍</dc:creator>
  <cp:lastModifiedBy>bingbing</cp:lastModifiedBy>
  <cp:lastPrinted>2016-03-15T04:09:00Z</cp:lastPrinted>
  <dcterms:modified xsi:type="dcterms:W3CDTF">2016-12-02T03:43:05Z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