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center"/>
        <w:rPr>
          <w:rFonts w:ascii="微软雅黑" w:hAnsi="微软雅黑" w:eastAsia="微软雅黑" w:cs="微软雅黑"/>
          <w:i w:val="0"/>
          <w:caps w:val="0"/>
          <w:color w:val="0472D1"/>
          <w:spacing w:val="0"/>
          <w:sz w:val="36"/>
          <w:szCs w:val="36"/>
        </w:rPr>
      </w:pPr>
      <w:r>
        <w:rPr>
          <w:rFonts w:hint="eastAsia" w:ascii="微软雅黑" w:hAnsi="微软雅黑" w:eastAsia="微软雅黑" w:cs="微软雅黑"/>
          <w:i w:val="0"/>
          <w:caps w:val="0"/>
          <w:color w:val="0472D1"/>
          <w:spacing w:val="0"/>
          <w:sz w:val="36"/>
          <w:szCs w:val="36"/>
          <w:shd w:val="clear" w:fill="FFFFFF"/>
        </w:rPr>
        <w:t>南京视觉艺术职业学院简介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b w:val="0"/>
          <w:i w:val="0"/>
          <w:caps w:val="0"/>
          <w:color w:val="000000"/>
          <w:spacing w:val="0"/>
          <w:sz w:val="21"/>
          <w:szCs w:val="21"/>
          <w:shd w:val="clear" w:fill="FFFFFF"/>
        </w:rPr>
        <w:t> 南京视觉艺术职业学院地处南京禄口国际机场空港产业园区，拥有800亩生态化校园，是一所飞速发展中的实力型院校。其前身是创办于1999年的南京林业大学民办二级学院—南方摄影学院，六年的不懈努力使其逐渐成熟壮大，具备了独立办学资格。2005年，经江苏省人民政府批准，南京视觉艺术职业学院正式成立。自独立办学以来，学院始终秉承“精艺创新、追求卓越”的校训，以培养勇于创新、学有所长、行知统一、脚踏实地的高素质专业艺术人才为目标，得到了社会各方的信赖与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b w:val="0"/>
          <w:i w:val="0"/>
          <w:caps w:val="0"/>
          <w:color w:val="000000"/>
          <w:spacing w:val="0"/>
          <w:sz w:val="21"/>
          <w:szCs w:val="21"/>
          <w:shd w:val="clear" w:fill="FFFFFF"/>
        </w:rPr>
        <w:t>南京视觉艺术职业学院是一所开放式管理的综合性新型艺术院校，师资雄厚、设备先进、环境优美、就业前景广阔，各项办学条件均已达到一流高校的应有水准，尤其是我们的强势专业—摄影更是名蜚中外。我校目前设有五大系，分别是摄影系、传媒系、设计系、高尔夫系和音乐系。设有摄影摄像技术（商业摄影、新闻摄影、艺术摄影、影视摄影、3D影视）、建筑设计技术、环境艺术设计、广告设计与制作、室内设计技术、视觉传达艺术设计、人物造型设计、艺术设计（游戏设计）、编导（影视编导）、主持与播音、音乐表演（声乐）、影视动画、影视广告、数字媒体设计与制作、酒店管理、高尔夫运动技术与管理多个专业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b w:val="0"/>
          <w:i w:val="0"/>
          <w:caps w:val="0"/>
          <w:color w:val="000000"/>
          <w:spacing w:val="0"/>
          <w:sz w:val="21"/>
          <w:szCs w:val="21"/>
          <w:shd w:val="clear" w:fill="FFFFFF"/>
        </w:rPr>
        <w:t>学院办学条件优越。首先，经过多年努力，学院拥有了一支专业扎实、师德高尚、教学认真的师资队伍。为了培养学生的国际视野，加强学生艺术创造能力，学校特从国内外引进了一批具有新思想、高素质的专家学者及留学归国人员充实师资队伍，充分吸收国外先进的教育思想和办学理念，设立各学科专家工作室主持教学工作，提升学院的教学科研水平，为学生发展创造了良好的条件。其次，我校从国外引进了一系列先进的设备，建成了演播厅、摄影棚、黑白与彩色暗房、灯光素描室、数字化语音室、计算机房、苹果机房、动画制作机房、非线编辑机房、网络机房、录音室、影视观摩厅、影视编辑室、影视器材库、高尔夫练习场、国际艺术展厅等专业教学设施。这些先进教学设施的引进不但彰显了学校职业艺术教育的风采，而且对学生实践能力的培养极为有利。再次，为了寻求更好的发展，为学生深造提供更高平台，学院积极开展各项对外交流活动，借鉴世界各国艺术教育的经验来充实自身。相继与美国、澳大利亚、韩国、日本、俄罗斯、希腊等国家和香港地区的多所大学建立了友好交流关系，踏上国际化办学之路，走向更加广阔的发展空间。最后，学校环境优美、风景如画更兼生活设施齐全。我校为学生提供四人间、通暖气的高标准学生宿舍和完整、齐备的生活设施，让学生在安静温馨、惬意舒适的环境中学习与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b w:val="0"/>
          <w:i w:val="0"/>
          <w:caps w:val="0"/>
          <w:color w:val="000000"/>
          <w:spacing w:val="0"/>
          <w:sz w:val="21"/>
          <w:szCs w:val="21"/>
          <w:shd w:val="clear" w:fill="FFFFFF"/>
        </w:rPr>
        <w:t>学院学生就业前景广阔。我院开设的都是社会急需的热门专业，这些高平台高回报的专业，无论对学生还是社会都有着较强的吸引力，为学生顺利就业提供了保证。建校十多年来，已有数千学子走出学校，他们凭借优秀的专业知识和娴熟的专业技能受到用人单位的一致好评。我院培养的摄影、主持类人才在中央电视台、江苏省电视台、电台、各报社、杂志社等各媒体单位都非常受欢迎；我院培养的设计类、影视类专业人才，在目前影视行业专业人才紧缺的情况下供不应求；我院高尔夫和酒店管理类专业就业也非常乐观，由于行业人才缺口很大，全国各五星级酒店、会所（如金陵饭店、黄山高尔夫会所等）都对我校毕业生伸出橄榄枝，就业率带到100℅。此外，学校还积极创造条件为优秀毕业生提供出国继续深造的机会。2006年我院与澳大利亚TAFE学院合作开办了大众传媒专业，学生毕业后可以同时获得澳大利亚TAFE学院专科文凭；2009年我院与韩国中部大学开展校际交流，目前已有多名学生赴韩进行本科阶段的深造；学院还即将与美国橙色海岸等学院开展全面的校际合作交流。高就业率和专转本录取率已成为我校办校十三年来最炫目的亮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b w:val="0"/>
          <w:i w:val="0"/>
          <w:caps w:val="0"/>
          <w:color w:val="000000"/>
          <w:spacing w:val="0"/>
          <w:sz w:val="21"/>
          <w:szCs w:val="21"/>
          <w:shd w:val="clear" w:fill="FFFFFF"/>
        </w:rPr>
        <w:t>南京视觉艺术职业学院将凭借雄厚的师资力量、规范的教学管理、优良的教学质量、一流的硬件设备和优美的校园环境，为培养更多高素质、高层次、应用型的专业人才，创建教育强省，促进中国教育事业的蓬勃发展书写更加辉煌的新篇章。由于我校较强的综合实力，中国高等教育学会摄影教育专委会理论委员会、中国广播电视节目主持人南京培训基地、江苏省美学会均选择我校作为设立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b w:val="0"/>
          <w:i w:val="0"/>
          <w:caps w:val="0"/>
          <w:color w:val="000000"/>
          <w:spacing w:val="0"/>
          <w:sz w:val="21"/>
          <w:szCs w:val="21"/>
          <w:shd w:val="clear" w:fill="FFFFFF"/>
        </w:rPr>
      </w:pPr>
      <w:r>
        <w:rPr>
          <w:rFonts w:hint="eastAsia" w:ascii="微软雅黑" w:hAnsi="微软雅黑" w:eastAsia="微软雅黑" w:cs="微软雅黑"/>
          <w:b w:val="0"/>
          <w:i w:val="0"/>
          <w:caps w:val="0"/>
          <w:color w:val="000000"/>
          <w:spacing w:val="0"/>
          <w:sz w:val="21"/>
          <w:szCs w:val="21"/>
          <w:shd w:val="clear" w:fill="FFFFFF"/>
        </w:rPr>
        <w:t>学校创办至今已有十三年的历史，这十三年中，学院用无数次成功的第一次展示出了它的拼搏与实力。经过多年的艰难探索、奋力前行，南京视觉艺术职业学院也在披荆斩棘中摸索出了适合自己的办学之路。我们相信，经过不断探索、改革和创新，南京视觉艺术学院必将走出一条国际化、品牌化艺术发展之路，创造出更加灿烂辉煌的明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b w:val="0"/>
          <w:i w:val="0"/>
          <w:caps w:val="0"/>
          <w:color w:val="000000"/>
          <w:spacing w:val="0"/>
          <w:sz w:val="21"/>
          <w:szCs w:val="21"/>
          <w:shd w:val="clear" w:fill="FFFFFF"/>
        </w:rPr>
      </w:pPr>
    </w:p>
    <w:tbl>
      <w:tblPr>
        <w:tblW w:w="142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720"/>
        <w:gridCol w:w="1440"/>
        <w:gridCol w:w="1770"/>
        <w:gridCol w:w="1230"/>
        <w:gridCol w:w="1770"/>
        <w:gridCol w:w="2805"/>
        <w:gridCol w:w="44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825" w:hRule="atLeast"/>
        </w:trPr>
        <w:tc>
          <w:tcPr>
            <w:tcW w:w="14205" w:type="dxa"/>
            <w:gridSpan w:val="7"/>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南京视觉艺术职业学院2016年岗位招聘计划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690" w:hRule="atLeast"/>
        </w:trPr>
        <w:tc>
          <w:tcPr>
            <w:tcW w:w="720" w:type="dxa"/>
            <w:tcBorders>
              <w:top w:val="single" w:color="000000" w:sz="12"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440" w:type="dxa"/>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招聘岗位</w:t>
            </w:r>
          </w:p>
        </w:tc>
        <w:tc>
          <w:tcPr>
            <w:tcW w:w="1770" w:type="dxa"/>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专业</w:t>
            </w:r>
          </w:p>
        </w:tc>
        <w:tc>
          <w:tcPr>
            <w:tcW w:w="1230" w:type="dxa"/>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招聘人数</w:t>
            </w:r>
          </w:p>
        </w:tc>
        <w:tc>
          <w:tcPr>
            <w:tcW w:w="1770" w:type="dxa"/>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学历/学位</w:t>
            </w:r>
          </w:p>
        </w:tc>
        <w:tc>
          <w:tcPr>
            <w:tcW w:w="2805" w:type="dxa"/>
            <w:tcBorders>
              <w:top w:val="single" w:color="000000" w:sz="12"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招聘对象</w:t>
            </w:r>
          </w:p>
        </w:tc>
        <w:tc>
          <w:tcPr>
            <w:tcW w:w="4470" w:type="dxa"/>
            <w:tcBorders>
              <w:top w:val="single" w:color="000000" w:sz="12"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其他说明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5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摄影</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热爱教育事业，专业技能扎实，熟练掌握传统影像和数码影像的操作，在校期间有教学经验优先，能够独立承担专业理论课程和实践课程的教学。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人物形象设计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本科及以上</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1、擅长人物形象、素描，对色彩专业知识了解。</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2、具有形象设计、美容化妆、绘画技能、立体剪裁等相关的专业能力，人物形象设计专业者优先。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3、有从事人物形象设计专业相关工作经验的优先。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5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环境艺术设计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能熟练操作3DMAX，PHOTOSHOP,SKECHUP等相关绘图软件，普通话标准。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2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室内设计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12"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热爱教育事业，专业技能扎实，能够独立承担专业课程的教学。本科、研究生都是室内设计专业、有行业工作经历的优先。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8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影视编导</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本科及以上</w:t>
            </w:r>
          </w:p>
        </w:tc>
        <w:tc>
          <w:tcPr>
            <w:tcW w:w="2805"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1、硕士研究生社会在职人员、应届毕业生 ；      2、本科生为社会在职人员（需有三年以上电视台或影视公司等相关影视行业的工作经验）   </w:t>
            </w:r>
          </w:p>
        </w:tc>
        <w:tc>
          <w:tcPr>
            <w:tcW w:w="4470" w:type="dxa"/>
            <w:tcBorders>
              <w:top w:val="single" w:color="000000" w:sz="4" w:space="0"/>
              <w:left w:val="single" w:color="000000" w:sz="4" w:space="0"/>
              <w:bottom w:val="single" w:color="000000" w:sz="4" w:space="0"/>
              <w:right w:val="single" w:color="000000" w:sz="12"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1、专业上电影电视基础理论知识扎实，影视空间想象能力丰富，具有较强的影视创作能力；                              2、熟练的使用各种摄像机、单反相机；         3、熟练的使用AE\PS\PR\AU等影视后期制作软件。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5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144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院系教师</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影视摄影</w:t>
            </w:r>
          </w:p>
        </w:tc>
        <w:tc>
          <w:tcPr>
            <w:tcW w:w="12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70"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本科及以上</w:t>
            </w:r>
          </w:p>
        </w:tc>
        <w:tc>
          <w:tcPr>
            <w:tcW w:w="2805" w:type="dxa"/>
            <w:tcBorders>
              <w:top w:val="single" w:color="000000" w:sz="4" w:space="0"/>
              <w:left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影视摄影与制作相关专业，具备影视行业工作经验的从业人员</w:t>
            </w:r>
          </w:p>
        </w:tc>
        <w:tc>
          <w:tcPr>
            <w:tcW w:w="4470" w:type="dxa"/>
            <w:tcBorders>
              <w:top w:val="single" w:color="000000" w:sz="4" w:space="0"/>
              <w:left w:val="single" w:color="000000" w:sz="4" w:space="0"/>
              <w:right w:val="single" w:color="000000" w:sz="12"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1.熟悉影视产品制作流程，有独立的影像制作能力并有成熟个人作品；2.熟悉无人机操作拍摄或各类摄影机的操作；3熟练掌握AE/PR等影视后期软件。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92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酒店管理</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热爱教育事业，有责任心，表达能力强，具有一定的沟通协调能力。2、酒店管理或旅游管理专业毕业生，能服从领导的工作任务安排，专业技能扎实，能承担酒店管理专业管理类课程、技能实务类课程的教学工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3、有品牌酒店管理工作经验、中级职称、海外留学经历者、持酒店相关工种高级职业资格证书者、各类酒店服务技能大赛获奖者、科研成果显著者优先。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学前教育</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本科及以上</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1、具有学前教育教师资格证；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2、有1年以上学前教育相关工作经验，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3、热爱教育事业，能够胜任教学及班主任工作。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院系教师</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韩语</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具有强烈的事业心和责任感，能吃苦耐劳，积极承担教育教学工作，按规定保质保量的完成教学工作任务。有教学经验者优先。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2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4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院长助理</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教育管理类</w:t>
            </w:r>
          </w:p>
        </w:tc>
        <w:tc>
          <w:tcPr>
            <w:tcW w:w="12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硕士研究生</w:t>
            </w:r>
          </w:p>
        </w:tc>
        <w:tc>
          <w:tcPr>
            <w:tcW w:w="280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硕士研究生及以上学历，教育管理专业，有5年以上教育行业工作经历，思维清晰，反应敏捷，组织协调能力强，文字写作功底强。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95"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144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设备科管理人员</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计算机相关专业</w:t>
            </w:r>
          </w:p>
        </w:tc>
        <w:tc>
          <w:tcPr>
            <w:tcW w:w="12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c>
          <w:tcPr>
            <w:tcW w:w="280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spacing w:after="200" w:afterAutospacing="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熟练掌握网络安全及维护相关工作，具有数据库维护管理经验，具有网站开发及运行管理经验，能够独立解决问题，网络工程等相关专业优先。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50" w:hRule="atLeast"/>
        </w:trPr>
        <w:tc>
          <w:tcPr>
            <w:tcW w:w="720" w:type="dxa"/>
            <w:tcBorders>
              <w:top w:val="single" w:color="000000" w:sz="4" w:space="0"/>
              <w:left w:val="single" w:color="000000" w:sz="12"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144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档案管理员</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档案管理、信息管理、情报学</w:t>
            </w:r>
          </w:p>
        </w:tc>
        <w:tc>
          <w:tcPr>
            <w:tcW w:w="12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c>
          <w:tcPr>
            <w:tcW w:w="280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性格稳重，工作细心、踏实、能吃苦耐劳。有档案管理工作经验的优先考虑。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35" w:hRule="atLeast"/>
        </w:trPr>
        <w:tc>
          <w:tcPr>
            <w:tcW w:w="720" w:type="dxa"/>
            <w:tcBorders>
              <w:top w:val="single" w:color="000000" w:sz="4" w:space="0"/>
              <w:left w:val="single" w:color="000000" w:sz="12"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144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院系秘书</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管理类</w:t>
            </w:r>
          </w:p>
        </w:tc>
        <w:tc>
          <w:tcPr>
            <w:tcW w:w="123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硕士研究生</w:t>
            </w:r>
          </w:p>
        </w:tc>
        <w:tc>
          <w:tcPr>
            <w:tcW w:w="280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1.有较高的政治素养，责任心强，能够承担部门酒店管理专业课程者优先。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2.有较强的专业水准，文笔功底佳。</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3.有一定的组织能力，担任过班干、学生会干部的优先。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275" w:hRule="atLeast"/>
        </w:trPr>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院办行政人员</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中文或行政管理</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有较高的政治素养，责任心强，组织协调能力强，具备较高的文笔功底，擅长文书写作，中文、行政管理相关专业，中国共产党员优先。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w:t>
            </w:r>
            <w:r>
              <w:rPr>
                <w:rFonts w:hint="eastAsia" w:ascii="宋体" w:hAnsi="宋体" w:eastAsia="宋体" w:cs="宋体"/>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475" w:hRule="atLeast"/>
        </w:trPr>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空乘教师</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空中乘务</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本科及以上</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1.本科以上学历，中共党员优先。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2.空乘专业毕业生，形象好、气质佳，须在本专业连续工作两年以上，有丰富教学经验、乘务长或两舱乘务员工作经历者优先。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3.掌握本专业最新行业理念，热爱高职教育和教学工作，善于沟通；</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4.具有专业相关资格证书，能教授专业课程，能辅导专业实操（实践）课程；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5.能做到职业资格、面试、技能考试辅导，为学生答疑。</w:t>
            </w:r>
            <w:r>
              <w:rPr>
                <w:rFonts w:hint="eastAsia" w:ascii="宋体" w:hAnsi="宋体" w:eastAsia="宋体" w:cs="宋体"/>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975" w:hRule="atLeast"/>
        </w:trPr>
        <w:tc>
          <w:tcPr>
            <w:tcW w:w="7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14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声乐教师</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声乐表演</w:t>
            </w:r>
          </w:p>
        </w:tc>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硕士研究生</w:t>
            </w:r>
          </w:p>
        </w:tc>
        <w:tc>
          <w:tcPr>
            <w:tcW w:w="280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社会在职人员、应届毕业生</w:t>
            </w:r>
          </w:p>
        </w:tc>
        <w:tc>
          <w:tcPr>
            <w:tcW w:w="4470" w:type="dxa"/>
            <w:tcBorders>
              <w:top w:val="single" w:color="000000" w:sz="4" w:space="0"/>
              <w:left w:val="single" w:color="000000" w:sz="4" w:space="0"/>
              <w:bottom w:val="single" w:color="000000" w:sz="4" w:space="0"/>
              <w:right w:val="single" w:color="000000" w:sz="4" w:space="0"/>
            </w:tcBorders>
            <w:shd w:val="clear" w:color="FFFF00" w:fill="FFFFFF"/>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热爱音乐专业，热爱教育事业，获得过专业大赛名次，有工作经验者优先。</w:t>
            </w:r>
            <w:r>
              <w:rPr>
                <w:rFonts w:hint="eastAsia" w:ascii="宋体" w:hAnsi="宋体" w:eastAsia="宋体" w:cs="宋体"/>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restart"/>
            <w:shd w:val="clear"/>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咨询电话：025-57246677；传真：025-57246655；</w:t>
            </w:r>
          </w:p>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邮箱：</w:t>
            </w:r>
            <w:r>
              <w:rPr>
                <w:rFonts w:hint="eastAsia" w:ascii="宋体" w:hAnsi="宋体" w:eastAsia="宋体" w:cs="宋体"/>
                <w:i w:val="0"/>
                <w:color w:val="000000"/>
                <w:kern w:val="0"/>
                <w:sz w:val="24"/>
                <w:szCs w:val="24"/>
                <w:u w:val="none"/>
                <w:lang w:val="en-US" w:eastAsia="zh-CN" w:bidi="ar"/>
              </w:rPr>
              <w:fldChar w:fldCharType="begin"/>
            </w:r>
            <w:r>
              <w:rPr>
                <w:rFonts w:hint="eastAsia" w:ascii="宋体" w:hAnsi="宋体" w:eastAsia="宋体" w:cs="宋体"/>
                <w:i w:val="0"/>
                <w:color w:val="000000"/>
                <w:kern w:val="0"/>
                <w:sz w:val="24"/>
                <w:szCs w:val="24"/>
                <w:u w:val="none"/>
                <w:lang w:val="en-US" w:eastAsia="zh-CN" w:bidi="ar"/>
              </w:rPr>
              <w:instrText xml:space="preserve"> HYPERLINK "mailto:nivarl@126.com抄送njsjysxyzp@sina.com" </w:instrText>
            </w:r>
            <w:r>
              <w:rPr>
                <w:rFonts w:hint="eastAsia" w:ascii="宋体" w:hAnsi="宋体" w:eastAsia="宋体" w:cs="宋体"/>
                <w:i w:val="0"/>
                <w:color w:val="000000"/>
                <w:kern w:val="0"/>
                <w:sz w:val="24"/>
                <w:szCs w:val="24"/>
                <w:u w:val="none"/>
                <w:lang w:val="en-US" w:eastAsia="zh-CN" w:bidi="ar"/>
              </w:rPr>
              <w:fldChar w:fldCharType="separate"/>
            </w:r>
            <w:r>
              <w:rPr>
                <w:rStyle w:val="5"/>
                <w:rFonts w:hint="eastAsia" w:ascii="宋体" w:hAnsi="宋体" w:eastAsia="宋体" w:cs="宋体"/>
                <w:i w:val="0"/>
                <w:kern w:val="0"/>
                <w:sz w:val="24"/>
                <w:szCs w:val="24"/>
                <w:lang w:val="en-US" w:eastAsia="zh-CN" w:bidi="ar"/>
              </w:rPr>
              <w:t>nivarl@126.com抄送njsjysxyzp@sina.com</w:t>
            </w:r>
            <w:r>
              <w:rPr>
                <w:rFonts w:hint="eastAsia" w:ascii="宋体" w:hAnsi="宋体" w:eastAsia="宋体" w:cs="宋体"/>
                <w:i w:val="0"/>
                <w:color w:val="000000"/>
                <w:kern w:val="0"/>
                <w:sz w:val="24"/>
                <w:szCs w:val="24"/>
                <w:u w:val="none"/>
                <w:lang w:val="en-US" w:eastAsia="zh-CN" w:bidi="ar"/>
              </w:rPr>
              <w:fldChar w:fldCharType="end"/>
            </w:r>
            <w:r>
              <w:rPr>
                <w:rFonts w:hint="eastAsia" w:ascii="宋体" w:hAnsi="宋体" w:eastAsia="宋体" w:cs="宋体"/>
                <w:i w:val="0"/>
                <w:color w:val="000000"/>
                <w:kern w:val="0"/>
                <w:sz w:val="24"/>
                <w:szCs w:val="24"/>
                <w:u w:val="none"/>
                <w:lang w:val="en-US" w:eastAsia="zh-CN" w:bidi="ar"/>
              </w:rPr>
              <w:t xml:space="preserve"> （投递简历时，请注明：高校师资网+姓名+专业+学历+毕业院校）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440" w:type="dxa"/>
            <w:shd w:val="clear"/>
            <w:vAlign w:val="bottom"/>
          </w:tcPr>
          <w:p>
            <w:pPr>
              <w:rPr>
                <w:rFonts w:hint="eastAsia" w:ascii="宋体" w:hAnsi="宋体" w:eastAsia="宋体" w:cs="宋体"/>
                <w:i w:val="0"/>
                <w:color w:val="000000"/>
                <w:sz w:val="24"/>
                <w:szCs w:val="24"/>
                <w:u w:val="none"/>
              </w:rPr>
            </w:pPr>
          </w:p>
        </w:tc>
        <w:tc>
          <w:tcPr>
            <w:tcW w:w="1770" w:type="dxa"/>
            <w:shd w:val="clear"/>
            <w:vAlign w:val="bottom"/>
          </w:tcPr>
          <w:p>
            <w:pPr>
              <w:rPr>
                <w:rFonts w:hint="eastAsia" w:ascii="宋体" w:hAnsi="宋体" w:eastAsia="宋体" w:cs="宋体"/>
                <w:i w:val="0"/>
                <w:color w:val="000000"/>
                <w:sz w:val="24"/>
                <w:szCs w:val="24"/>
                <w:u w:val="none"/>
              </w:rPr>
            </w:pPr>
          </w:p>
        </w:tc>
        <w:tc>
          <w:tcPr>
            <w:tcW w:w="1230" w:type="dxa"/>
            <w:shd w:val="clear"/>
            <w:vAlign w:val="bottom"/>
          </w:tcPr>
          <w:p>
            <w:pPr>
              <w:rPr>
                <w:rFonts w:hint="eastAsia" w:ascii="宋体" w:hAnsi="宋体" w:eastAsia="宋体" w:cs="宋体"/>
                <w:i w:val="0"/>
                <w:color w:val="000000"/>
                <w:sz w:val="24"/>
                <w:szCs w:val="24"/>
                <w:u w:val="none"/>
              </w:rPr>
            </w:pPr>
          </w:p>
        </w:tc>
        <w:tc>
          <w:tcPr>
            <w:tcW w:w="1770" w:type="dxa"/>
            <w:shd w:val="clear"/>
            <w:vAlign w:val="bottom"/>
          </w:tcPr>
          <w:p>
            <w:pPr>
              <w:rPr>
                <w:rFonts w:hint="eastAsia" w:ascii="宋体" w:hAnsi="宋体" w:eastAsia="宋体" w:cs="宋体"/>
                <w:i w:val="0"/>
                <w:color w:val="000000"/>
                <w:sz w:val="24"/>
                <w:szCs w:val="24"/>
                <w:u w:val="none"/>
              </w:rPr>
            </w:pPr>
          </w:p>
        </w:tc>
        <w:tc>
          <w:tcPr>
            <w:tcW w:w="2805" w:type="dxa"/>
            <w:shd w:val="clear"/>
            <w:vAlign w:val="bottom"/>
          </w:tcPr>
          <w:p>
            <w:pPr>
              <w:rPr>
                <w:rFonts w:hint="eastAsia" w:ascii="宋体" w:hAnsi="宋体" w:eastAsia="宋体" w:cs="宋体"/>
                <w:i w:val="0"/>
                <w:color w:val="000000"/>
                <w:sz w:val="24"/>
                <w:szCs w:val="24"/>
                <w:u w:val="none"/>
              </w:rPr>
            </w:pPr>
            <w:bookmarkStart w:id="0" w:name="_GoBack"/>
            <w:bookmarkEnd w:id="0"/>
          </w:p>
        </w:tc>
        <w:tc>
          <w:tcPr>
            <w:tcW w:w="4470" w:type="dxa"/>
            <w:shd w:val="clear"/>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440" w:type="dxa"/>
            <w:shd w:val="clear"/>
            <w:vAlign w:val="bottom"/>
          </w:tcPr>
          <w:p>
            <w:pPr>
              <w:rPr>
                <w:rFonts w:hint="eastAsia" w:ascii="宋体" w:hAnsi="宋体" w:eastAsia="宋体" w:cs="宋体"/>
                <w:i w:val="0"/>
                <w:color w:val="000000"/>
                <w:sz w:val="24"/>
                <w:szCs w:val="24"/>
                <w:u w:val="none"/>
              </w:rPr>
            </w:pPr>
          </w:p>
        </w:tc>
        <w:tc>
          <w:tcPr>
            <w:tcW w:w="1770" w:type="dxa"/>
            <w:shd w:val="clear"/>
            <w:vAlign w:val="bottom"/>
          </w:tcPr>
          <w:p>
            <w:pPr>
              <w:rPr>
                <w:rFonts w:hint="eastAsia" w:ascii="宋体" w:hAnsi="宋体" w:eastAsia="宋体" w:cs="宋体"/>
                <w:i w:val="0"/>
                <w:color w:val="000000"/>
                <w:sz w:val="24"/>
                <w:szCs w:val="24"/>
                <w:u w:val="none"/>
              </w:rPr>
            </w:pPr>
          </w:p>
        </w:tc>
        <w:tc>
          <w:tcPr>
            <w:tcW w:w="1230" w:type="dxa"/>
            <w:shd w:val="clear"/>
            <w:vAlign w:val="bottom"/>
          </w:tcPr>
          <w:p>
            <w:pPr>
              <w:rPr>
                <w:rFonts w:hint="eastAsia" w:ascii="宋体" w:hAnsi="宋体" w:eastAsia="宋体" w:cs="宋体"/>
                <w:i w:val="0"/>
                <w:color w:val="000000"/>
                <w:sz w:val="24"/>
                <w:szCs w:val="24"/>
                <w:u w:val="none"/>
              </w:rPr>
            </w:pPr>
          </w:p>
        </w:tc>
        <w:tc>
          <w:tcPr>
            <w:tcW w:w="1770" w:type="dxa"/>
            <w:shd w:val="clear"/>
            <w:vAlign w:val="bottom"/>
          </w:tcPr>
          <w:p>
            <w:pPr>
              <w:rPr>
                <w:rFonts w:hint="eastAsia" w:ascii="宋体" w:hAnsi="宋体" w:eastAsia="宋体" w:cs="宋体"/>
                <w:i w:val="0"/>
                <w:color w:val="000000"/>
                <w:sz w:val="24"/>
                <w:szCs w:val="24"/>
                <w:u w:val="none"/>
              </w:rPr>
            </w:pPr>
          </w:p>
        </w:tc>
        <w:tc>
          <w:tcPr>
            <w:tcW w:w="2805" w:type="dxa"/>
            <w:shd w:val="clear"/>
            <w:vAlign w:val="bottom"/>
          </w:tcPr>
          <w:p>
            <w:pPr>
              <w:rPr>
                <w:rFonts w:hint="eastAsia" w:ascii="宋体" w:hAnsi="宋体" w:eastAsia="宋体" w:cs="宋体"/>
                <w:i w:val="0"/>
                <w:color w:val="000000"/>
                <w:sz w:val="24"/>
                <w:szCs w:val="24"/>
                <w:u w:val="none"/>
              </w:rPr>
            </w:pPr>
          </w:p>
        </w:tc>
        <w:tc>
          <w:tcPr>
            <w:tcW w:w="4470" w:type="dxa"/>
            <w:shd w:val="clear"/>
            <w:vAlign w:val="bottom"/>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restart"/>
            <w:shd w:val="clear"/>
            <w:vAlign w:val="center"/>
          </w:tcPr>
          <w:p>
            <w:pPr>
              <w:keepNext w:val="0"/>
              <w:keepLines w:val="0"/>
              <w:widowControl/>
              <w:suppressLineNumbers w:val="0"/>
              <w:spacing w:after="240" w:afterAutospacing="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工资待遇：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待遇从优，具体面议，按国家规定缴纳社会保险和公积金，提供节日慰问。提供广阔的发展平台，定期开展各类专业培训。</w:t>
            </w:r>
            <w:r>
              <w:rPr>
                <w:rFonts w:hint="eastAsia" w:ascii="宋体" w:hAnsi="宋体" w:eastAsia="宋体" w:cs="宋体"/>
                <w:i w:val="0"/>
                <w:color w:val="000000"/>
                <w:kern w:val="0"/>
                <w:sz w:val="24"/>
                <w:szCs w:val="24"/>
                <w:u w:val="none"/>
                <w:lang w:val="en-US" w:eastAsia="zh-CN" w:bidi="ar"/>
              </w:rPr>
              <w:br w:type="textWrapp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86" w:hRule="atLeast"/>
        </w:trPr>
        <w:tc>
          <w:tcPr>
            <w:tcW w:w="720" w:type="dxa"/>
            <w:shd w:val="clear"/>
            <w:vAlign w:val="bottom"/>
          </w:tcPr>
          <w:p>
            <w:pPr>
              <w:rPr>
                <w:rFonts w:hint="eastAsia" w:ascii="宋体" w:hAnsi="宋体" w:eastAsia="宋体" w:cs="宋体"/>
                <w:i w:val="0"/>
                <w:color w:val="000000"/>
                <w:sz w:val="24"/>
                <w:szCs w:val="24"/>
                <w:u w:val="none"/>
              </w:rPr>
            </w:pPr>
          </w:p>
        </w:tc>
        <w:tc>
          <w:tcPr>
            <w:tcW w:w="13485" w:type="dxa"/>
            <w:gridSpan w:val="6"/>
            <w:vMerge w:val="continue"/>
            <w:shd w:val="clear"/>
            <w:vAlign w:val="center"/>
          </w:tcPr>
          <w:p>
            <w:pPr>
              <w:jc w:val="center"/>
              <w:rPr>
                <w:rFonts w:hint="eastAsia" w:ascii="宋体" w:hAnsi="宋体" w:eastAsia="宋体" w:cs="宋体"/>
                <w:i w:val="0"/>
                <w:color w:val="000000"/>
                <w:sz w:val="24"/>
                <w:szCs w:val="24"/>
                <w:u w:val="none"/>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b w:val="0"/>
          <w:i w:val="0"/>
          <w:caps w:val="0"/>
          <w:color w:val="000000"/>
          <w:spacing w:val="0"/>
          <w:sz w:val="21"/>
          <w:szCs w:val="21"/>
          <w:shd w:val="clear" w:fill="FFFFFF"/>
        </w:rPr>
      </w:pPr>
    </w:p>
    <w:p>
      <w:pPr>
        <w:keepNext w:val="0"/>
        <w:keepLines w:val="0"/>
        <w:widowControl/>
        <w:suppressLineNumbers w:val="0"/>
        <w:jc w:val="left"/>
        <w:rPr>
          <w:rFonts w:hint="eastAsia" w:ascii="宋体" w:hAnsi="宋体" w:eastAsia="宋体" w:cs="宋体"/>
          <w:kern w:val="0"/>
          <w:sz w:val="24"/>
          <w:szCs w:val="24"/>
          <w:lang w:val="en-US" w:eastAsia="zh-CN" w:bidi="ar"/>
        </w:rPr>
      </w:pPr>
    </w:p>
    <w:p>
      <w:pPr>
        <w:rPr>
          <w:rFonts w:hint="eastAsia" w:eastAsiaTheme="minorEastAsia"/>
          <w:sz w:val="24"/>
          <w:szCs w:val="24"/>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3766E"/>
    <w:rsid w:val="107E70FF"/>
    <w:rsid w:val="24226E6C"/>
    <w:rsid w:val="46F76649"/>
    <w:rsid w:val="6D1C042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 w:type="character" w:customStyle="1" w:styleId="7">
    <w:name w:val="font01"/>
    <w:basedOn w:val="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qch</dc:creator>
  <cp:lastModifiedBy>bingbing</cp:lastModifiedBy>
  <dcterms:modified xsi:type="dcterms:W3CDTF">2016-09-06T08:25:04Z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