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梧州学院2016年招聘启事</w:t>
      </w:r>
    </w:p>
    <w:p>
      <w:pPr>
        <w:jc w:val="center"/>
        <w:rPr>
          <w:b/>
          <w:sz w:val="44"/>
          <w:szCs w:val="44"/>
        </w:rPr>
      </w:pPr>
    </w:p>
    <w:p>
      <w:pPr>
        <w:rPr>
          <w:rFonts w:ascii="楷体" w:hAnsi="楷体" w:eastAsia="楷体"/>
          <w:b/>
          <w:sz w:val="44"/>
          <w:szCs w:val="44"/>
        </w:rPr>
      </w:pPr>
      <w:r>
        <w:rPr>
          <w:rFonts w:hint="eastAsia" w:ascii="楷体" w:hAnsi="楷体" w:eastAsia="楷体"/>
          <w:b/>
          <w:sz w:val="44"/>
          <w:szCs w:val="44"/>
        </w:rPr>
        <w:t>●梧州学院简介</w:t>
      </w:r>
    </w:p>
    <w:p>
      <w:pPr>
        <w:ind w:firstLine="640" w:firstLineChars="200"/>
        <w:rPr>
          <w:rFonts w:ascii="仿宋" w:hAnsi="仿宋" w:eastAsia="仿宋"/>
          <w:sz w:val="32"/>
          <w:szCs w:val="32"/>
        </w:rPr>
      </w:pPr>
      <w:r>
        <w:rPr>
          <w:rFonts w:hint="eastAsia" w:ascii="仿宋" w:hAnsi="仿宋" w:eastAsia="仿宋"/>
          <w:sz w:val="32"/>
          <w:szCs w:val="32"/>
        </w:rPr>
        <w:t>梧州学院创办于1985年，前身是广西大学梧州分校。2006年2月</w:t>
      </w:r>
      <w:r>
        <w:rPr>
          <w:rFonts w:hint="eastAsia" w:ascii="仿宋" w:hAnsi="仿宋" w:eastAsia="仿宋"/>
          <w:color w:val="FF0000"/>
          <w:sz w:val="32"/>
          <w:szCs w:val="32"/>
        </w:rPr>
        <w:t>，</w:t>
      </w:r>
      <w:r>
        <w:rPr>
          <w:rFonts w:hint="eastAsia" w:ascii="仿宋" w:hAnsi="仿宋" w:eastAsia="仿宋"/>
          <w:sz w:val="32"/>
          <w:szCs w:val="32"/>
        </w:rPr>
        <w:t>经教育部批准，在广西大学梧州分校的基础上建立梧州学院，是一所公办全日制普通高等本科院校（二本院校，全额拨款事业单位）。</w:t>
      </w:r>
    </w:p>
    <w:p>
      <w:pPr>
        <w:ind w:firstLine="640" w:firstLineChars="200"/>
        <w:rPr>
          <w:rFonts w:ascii="仿宋" w:hAnsi="仿宋" w:eastAsia="仿宋"/>
          <w:sz w:val="32"/>
          <w:szCs w:val="32"/>
        </w:rPr>
      </w:pPr>
      <w:r>
        <w:rPr>
          <w:rFonts w:hint="eastAsia" w:ascii="仿宋" w:hAnsi="仿宋" w:eastAsia="仿宋"/>
          <w:sz w:val="32"/>
          <w:szCs w:val="32"/>
        </w:rPr>
        <w:t>梧州学院地处素有千年古城、百年商埠、世界人工宝石之都美誉的广西梧州市。梧州是广西高等教育的发源地。梧州学院校园坐落于桂江西畔，依山傍水，景色宜人，幽雅宜居。</w:t>
      </w:r>
    </w:p>
    <w:p>
      <w:pPr>
        <w:ind w:firstLine="640" w:firstLineChars="200"/>
        <w:rPr>
          <w:rFonts w:ascii="仿宋" w:hAnsi="仿宋" w:eastAsia="仿宋"/>
          <w:sz w:val="32"/>
          <w:szCs w:val="32"/>
        </w:rPr>
      </w:pPr>
      <w:r>
        <w:rPr>
          <w:rFonts w:hint="eastAsia" w:ascii="仿宋" w:hAnsi="仿宋" w:eastAsia="仿宋"/>
          <w:sz w:val="32"/>
          <w:szCs w:val="32"/>
        </w:rPr>
        <w:t>梧州学院设立有9个二级学院和教学部门。面向全国28个省、自治区和直辖市招生。现有全日制普通本专科在校学生12096人（其中本科10122人），外国留学生75人。教职员工1100多人。</w:t>
      </w:r>
    </w:p>
    <w:p>
      <w:pPr>
        <w:ind w:firstLine="640" w:firstLineChars="200"/>
        <w:rPr>
          <w:rFonts w:ascii="仿宋" w:hAnsi="仿宋" w:eastAsia="仿宋"/>
          <w:sz w:val="32"/>
          <w:szCs w:val="32"/>
        </w:rPr>
      </w:pPr>
      <w:r>
        <w:rPr>
          <w:rFonts w:hint="eastAsia" w:ascii="仿宋" w:hAnsi="仿宋" w:eastAsia="仿宋"/>
          <w:sz w:val="32"/>
          <w:szCs w:val="32"/>
        </w:rPr>
        <w:t>梧州学院办学定位明确。学校坚持“以育人为根本，以教学为中心，以人才为支撑，以服务求发展”的办学理念、“紧贴业界，校地协同，东融西联，通江达海”的办学特色，“实基础，适口径，重能力，能创新”的人才培养要求，立足梧州，服务“一区一带”（粤桂合作特别试验区和珠江——西江经济带），辐射两广，面向东南亚。</w:t>
      </w:r>
    </w:p>
    <w:p>
      <w:pPr>
        <w:ind w:firstLine="640" w:firstLineChars="200"/>
        <w:rPr>
          <w:rFonts w:ascii="仿宋" w:hAnsi="仿宋" w:eastAsia="仿宋"/>
          <w:sz w:val="32"/>
          <w:szCs w:val="32"/>
        </w:rPr>
      </w:pPr>
      <w:r>
        <w:rPr>
          <w:rFonts w:hint="eastAsia" w:ascii="仿宋" w:hAnsi="仿宋" w:eastAsia="仿宋"/>
          <w:sz w:val="32"/>
          <w:szCs w:val="32"/>
        </w:rPr>
        <w:t>梧州学院学科专业特色明显。学校设置40个本科专业，29个高职高专专业，涵盖了工学、经济学、管理学、理学、文学、艺术学、法学、教育学、哲学等学科门类。工学、管理学、经济学是学校的优势学科。信号与信息处理、产业经济学、旅游管理、机械及自动化是广西重点学科，软件工程是广西重点培育学科，电子信息工程、国际经济与贸易是全国高校特色专业，旅游管理、艺术设计、软件工程是广西特色专业。学校还建有林产化工、制药工程等面向地方产业发展的特色专业。目前，学校搭建了人工宝石设计与检测实验室、粤港澳产业转移研究中心、西江研究院、软件开发中心、信号处理实验室、粤桂合作特别试验区协同创新研究中心、可行性研究中心等10多个特色科研平台。</w:t>
      </w:r>
    </w:p>
    <w:p>
      <w:pPr>
        <w:ind w:firstLine="640" w:firstLineChars="200"/>
        <w:rPr>
          <w:rFonts w:ascii="仿宋" w:hAnsi="仿宋" w:eastAsia="仿宋"/>
          <w:sz w:val="32"/>
          <w:szCs w:val="32"/>
        </w:rPr>
      </w:pPr>
      <w:r>
        <w:rPr>
          <w:rFonts w:hint="eastAsia" w:ascii="仿宋" w:hAnsi="仿宋" w:eastAsia="仿宋"/>
          <w:sz w:val="32"/>
          <w:szCs w:val="32"/>
        </w:rPr>
        <w:t xml:space="preserve"> 办学20多年来，梧州学院取得了令人瞩目的成绩，实现了跨越发展。展望未来，梧州学院将秉承“明德、博学、求是、创新”的校训，面向“北部湾大开发”、“珠江——西江经济带”、“粤桂合作特别试验区”等重大战略实施，以及人工宝石、再生资源、陶瓷、林产林化、电子、中医药、休闲养生等地方产业发展，走好内涵式发展的路子，努力把学校建成一所地方知名大学。</w:t>
      </w:r>
    </w:p>
    <w:p>
      <w:pPr>
        <w:ind w:firstLine="640" w:firstLineChars="200"/>
        <w:rPr>
          <w:rFonts w:ascii="仿宋" w:hAnsi="仿宋" w:eastAsia="仿宋"/>
          <w:sz w:val="32"/>
          <w:szCs w:val="32"/>
        </w:rPr>
      </w:pPr>
      <w:r>
        <w:rPr>
          <w:rFonts w:hint="eastAsia" w:ascii="仿宋" w:hAnsi="仿宋" w:eastAsia="仿宋"/>
          <w:sz w:val="32"/>
          <w:szCs w:val="32"/>
        </w:rPr>
        <w:t>我们真诚期待国内外有志于从事高等教育事业的优秀人才积极投身到梧州学院的宏伟事业中来，与我们携手共创辉煌明天！</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ascii="楷体" w:hAnsi="楷体" w:eastAsia="楷体"/>
          <w:b/>
          <w:sz w:val="44"/>
          <w:szCs w:val="44"/>
        </w:rPr>
      </w:pPr>
      <w:r>
        <w:rPr>
          <w:rFonts w:hint="eastAsia" w:ascii="楷体" w:hAnsi="楷体" w:eastAsia="楷体"/>
          <w:b/>
          <w:sz w:val="44"/>
          <w:szCs w:val="44"/>
        </w:rPr>
        <w:t>●教授、博士待遇</w:t>
      </w:r>
    </w:p>
    <w:p>
      <w:pPr>
        <w:ind w:firstLine="640" w:firstLineChars="200"/>
        <w:rPr>
          <w:rFonts w:ascii="仿宋" w:hAnsi="仿宋" w:eastAsia="仿宋"/>
          <w:sz w:val="32"/>
          <w:szCs w:val="32"/>
        </w:rPr>
      </w:pPr>
      <w:r>
        <w:rPr>
          <w:rFonts w:hint="eastAsia" w:ascii="仿宋" w:hAnsi="仿宋" w:eastAsia="仿宋"/>
          <w:sz w:val="32"/>
          <w:szCs w:val="32"/>
        </w:rPr>
        <w:t>1．博士服务期8年。</w:t>
      </w:r>
    </w:p>
    <w:p>
      <w:pPr>
        <w:ind w:firstLine="640" w:firstLineChars="200"/>
        <w:rPr>
          <w:rFonts w:ascii="仿宋" w:hAnsi="仿宋" w:eastAsia="仿宋"/>
          <w:sz w:val="32"/>
          <w:szCs w:val="32"/>
        </w:rPr>
      </w:pPr>
      <w:r>
        <w:rPr>
          <w:rFonts w:hint="eastAsia" w:ascii="仿宋" w:hAnsi="仿宋" w:eastAsia="仿宋"/>
          <w:sz w:val="32"/>
          <w:szCs w:val="32"/>
        </w:rPr>
        <w:t>2. 学校提供住房补贴、科研启动经费、租房补贴、办公电脑等相关待遇。</w:t>
      </w:r>
    </w:p>
    <w:p>
      <w:pPr>
        <w:ind w:firstLine="640" w:firstLineChars="200"/>
        <w:rPr>
          <w:rFonts w:ascii="仿宋" w:hAnsi="仿宋" w:eastAsia="仿宋"/>
          <w:sz w:val="32"/>
          <w:szCs w:val="32"/>
        </w:rPr>
      </w:pPr>
      <w:r>
        <w:rPr>
          <w:rFonts w:hint="eastAsia" w:ascii="仿宋" w:hAnsi="仿宋" w:eastAsia="仿宋"/>
          <w:sz w:val="32"/>
          <w:szCs w:val="32"/>
        </w:rPr>
        <w:t>3．配偶可随调或聘用到学校适当岗位工作。</w:t>
      </w:r>
    </w:p>
    <w:p>
      <w:pPr>
        <w:ind w:firstLine="640" w:firstLineChars="200"/>
        <w:rPr>
          <w:rFonts w:ascii="仿宋" w:hAnsi="仿宋" w:eastAsia="仿宋"/>
          <w:sz w:val="32"/>
          <w:szCs w:val="32"/>
        </w:rPr>
      </w:pPr>
      <w:r>
        <w:rPr>
          <w:rFonts w:hint="eastAsia" w:ascii="仿宋" w:hAnsi="仿宋" w:eastAsia="仿宋"/>
          <w:sz w:val="32"/>
          <w:szCs w:val="32"/>
        </w:rPr>
        <w:t>4. 教授、博士来校面试考察，不论是否与学校签订引进人才协议，学校均予以一次性报销往返车费及住宿费。</w:t>
      </w:r>
    </w:p>
    <w:p>
      <w:pPr>
        <w:ind w:firstLine="640" w:firstLineChars="200"/>
        <w:rPr>
          <w:rFonts w:ascii="仿宋" w:hAnsi="仿宋" w:eastAsia="仿宋"/>
          <w:sz w:val="32"/>
          <w:szCs w:val="32"/>
        </w:rPr>
      </w:pPr>
      <w:r>
        <w:rPr>
          <w:rFonts w:hint="eastAsia" w:ascii="仿宋" w:hAnsi="仿宋" w:eastAsia="仿宋"/>
          <w:sz w:val="32"/>
          <w:szCs w:val="32"/>
        </w:rPr>
        <w:t>5. 符合学校重点学科引进的教授、博士，待遇从优。</w:t>
      </w:r>
    </w:p>
    <w:p>
      <w:pPr>
        <w:ind w:firstLine="480" w:firstLineChars="150"/>
        <w:rPr>
          <w:rFonts w:ascii="仿宋" w:hAnsi="仿宋" w:eastAsia="仿宋"/>
          <w:sz w:val="32"/>
          <w:szCs w:val="32"/>
        </w:rPr>
      </w:pPr>
      <w:r>
        <w:rPr>
          <w:rFonts w:hint="eastAsia" w:ascii="仿宋" w:hAnsi="仿宋" w:eastAsia="仿宋"/>
          <w:sz w:val="32"/>
          <w:szCs w:val="32"/>
        </w:rPr>
        <w:t xml:space="preserve"> </w:t>
      </w:r>
    </w:p>
    <w:p>
      <w:pPr>
        <w:rPr>
          <w:rFonts w:ascii="楷体" w:hAnsi="楷体" w:eastAsia="楷体"/>
          <w:b/>
          <w:sz w:val="44"/>
          <w:szCs w:val="44"/>
        </w:rPr>
      </w:pPr>
      <w:r>
        <w:rPr>
          <w:rFonts w:hint="eastAsia" w:ascii="楷体" w:hAnsi="楷体" w:eastAsia="楷体"/>
          <w:b/>
          <w:sz w:val="44"/>
          <w:szCs w:val="44"/>
        </w:rPr>
        <w:t>●联系方式</w:t>
      </w:r>
    </w:p>
    <w:p>
      <w:pPr>
        <w:rPr>
          <w:rFonts w:ascii="楷体" w:hAnsi="楷体" w:eastAsia="楷体"/>
          <w:b/>
          <w:sz w:val="44"/>
          <w:szCs w:val="44"/>
        </w:rPr>
      </w:pPr>
      <w:r>
        <w:rPr>
          <w:rFonts w:hint="eastAsia" w:ascii="仿宋" w:hAnsi="仿宋" w:eastAsia="仿宋"/>
          <w:sz w:val="32"/>
          <w:szCs w:val="32"/>
        </w:rPr>
        <w:t>地  址：广西梧州市富民三路82号</w:t>
      </w:r>
    </w:p>
    <w:p>
      <w:pPr>
        <w:rPr>
          <w:rFonts w:ascii="仿宋" w:hAnsi="仿宋" w:eastAsia="仿宋"/>
          <w:sz w:val="32"/>
          <w:szCs w:val="32"/>
        </w:rPr>
      </w:pPr>
      <w:r>
        <w:rPr>
          <w:rFonts w:hint="eastAsia" w:ascii="仿宋" w:hAnsi="仿宋" w:eastAsia="仿宋"/>
          <w:sz w:val="32"/>
          <w:szCs w:val="32"/>
        </w:rPr>
        <w:t>部  门：梧州学院党委组织部、人事处</w:t>
      </w:r>
    </w:p>
    <w:p>
      <w:pPr>
        <w:rPr>
          <w:rFonts w:ascii="仿宋" w:hAnsi="仿宋" w:eastAsia="仿宋"/>
          <w:sz w:val="32"/>
          <w:szCs w:val="32"/>
        </w:rPr>
      </w:pPr>
      <w:r>
        <w:rPr>
          <w:rFonts w:hint="eastAsia" w:ascii="仿宋" w:hAnsi="仿宋" w:eastAsia="仿宋"/>
          <w:sz w:val="32"/>
          <w:szCs w:val="32"/>
        </w:rPr>
        <w:t>联系人：许老师</w:t>
      </w:r>
    </w:p>
    <w:p>
      <w:pPr>
        <w:rPr>
          <w:rFonts w:ascii="仿宋" w:hAnsi="仿宋" w:eastAsia="仿宋"/>
          <w:sz w:val="32"/>
          <w:szCs w:val="32"/>
        </w:rPr>
      </w:pPr>
      <w:r>
        <w:rPr>
          <w:rFonts w:hint="eastAsia" w:ascii="仿宋" w:hAnsi="仿宋" w:eastAsia="仿宋"/>
          <w:sz w:val="32"/>
          <w:szCs w:val="32"/>
        </w:rPr>
        <w:t xml:space="preserve">电  话：0774-5835531 </w:t>
      </w:r>
    </w:p>
    <w:p>
      <w:pPr>
        <w:rPr>
          <w:rFonts w:ascii="仿宋" w:hAnsi="仿宋" w:eastAsia="仿宋"/>
          <w:sz w:val="32"/>
          <w:szCs w:val="32"/>
        </w:rPr>
      </w:pPr>
      <w:r>
        <w:rPr>
          <w:rFonts w:hint="eastAsia" w:ascii="仿宋" w:hAnsi="仿宋" w:eastAsia="仿宋"/>
          <w:sz w:val="32"/>
          <w:szCs w:val="32"/>
        </w:rPr>
        <w:t>投寄简历邮箱：</w:t>
      </w:r>
      <w:r>
        <w:fldChar w:fldCharType="begin"/>
      </w:r>
      <w:r>
        <w:instrText xml:space="preserve"> HYPERLINK "mailto:wzxyrczp@163.com" </w:instrText>
      </w:r>
      <w:r>
        <w:fldChar w:fldCharType="separate"/>
      </w:r>
      <w:r>
        <w:rPr>
          <w:rStyle w:val="6"/>
          <w:rFonts w:hint="eastAsia" w:ascii="仿宋" w:hAnsi="仿宋" w:eastAsia="仿宋"/>
          <w:sz w:val="32"/>
          <w:szCs w:val="32"/>
        </w:rPr>
        <w:t>wzxyrczp@163.com</w:t>
      </w:r>
      <w:r>
        <w:rPr>
          <w:rStyle w:val="6"/>
          <w:rFonts w:hint="eastAsia" w:ascii="仿宋" w:hAnsi="仿宋" w:eastAsia="仿宋"/>
          <w:sz w:val="32"/>
          <w:szCs w:val="32"/>
        </w:rPr>
        <w:fldChar w:fldCharType="end"/>
      </w:r>
      <w:r>
        <w:rPr>
          <w:rFonts w:hint="eastAsia" w:ascii="仿宋" w:hAnsi="仿宋" w:eastAsia="仿宋"/>
          <w:sz w:val="32"/>
          <w:szCs w:val="32"/>
        </w:rPr>
        <w:t xml:space="preserve"> </w:t>
      </w:r>
      <w:r>
        <w:fldChar w:fldCharType="begin"/>
      </w:r>
      <w:r>
        <w:instrText xml:space="preserve"> HYPERLINK "mailto:抄送wzxyzp@sina.com" </w:instrText>
      </w:r>
      <w:r>
        <w:fldChar w:fldCharType="separate"/>
      </w:r>
      <w:r>
        <w:rPr>
          <w:rStyle w:val="6"/>
          <w:rFonts w:hint="eastAsia" w:ascii="仿宋" w:hAnsi="仿宋" w:eastAsia="仿宋"/>
          <w:sz w:val="32"/>
          <w:szCs w:val="32"/>
        </w:rPr>
        <w:t>抄送</w:t>
      </w:r>
      <w:r>
        <w:rPr>
          <w:rStyle w:val="6"/>
          <w:rFonts w:hint="eastAsia" w:ascii="仿宋" w:hAnsi="仿宋" w:eastAsia="仿宋"/>
          <w:sz w:val="32"/>
          <w:szCs w:val="32"/>
        </w:rPr>
        <w:fldChar w:fldCharType="end"/>
      </w:r>
      <w:r>
        <w:rPr>
          <w:rStyle w:val="6"/>
          <w:rFonts w:ascii="仿宋" w:hAnsi="仿宋" w:eastAsia="仿宋"/>
          <w:sz w:val="32"/>
          <w:szCs w:val="32"/>
        </w:rPr>
        <w:t>wzxyrczp@sina.com</w:t>
      </w:r>
      <w:r>
        <w:rPr>
          <w:rFonts w:hint="eastAsia" w:ascii="仿宋" w:hAnsi="仿宋" w:eastAsia="仿宋"/>
          <w:sz w:val="32"/>
          <w:szCs w:val="32"/>
        </w:rPr>
        <w:t xml:space="preserve">  （投递简历时，请注明：硕博招聘在线+姓名+专业+学历+毕业院校）</w:t>
      </w:r>
    </w:p>
    <w:p>
      <w:pPr>
        <w:rPr>
          <w:rFonts w:ascii="仿宋" w:hAnsi="仿宋" w:eastAsia="仿宋"/>
          <w:sz w:val="32"/>
          <w:szCs w:val="32"/>
        </w:rPr>
      </w:pPr>
      <w:r>
        <w:rPr>
          <w:rFonts w:hint="eastAsia" w:ascii="仿宋" w:hAnsi="仿宋" w:eastAsia="仿宋"/>
          <w:sz w:val="32"/>
          <w:szCs w:val="32"/>
        </w:rPr>
        <w:t>学校主页：http://www.gxuwz.edu.cn</w:t>
      </w:r>
    </w:p>
    <w:p>
      <w:pPr>
        <w:rPr>
          <w:sz w:val="27"/>
          <w:szCs w:val="27"/>
        </w:rPr>
      </w:pPr>
    </w:p>
    <w:tbl>
      <w:tblPr>
        <w:tblStyle w:val="7"/>
        <w:tblW w:w="12978" w:type="dxa"/>
        <w:tblInd w:w="93" w:type="dxa"/>
        <w:tblLayout w:type="fixed"/>
        <w:tblCellMar>
          <w:top w:w="0" w:type="dxa"/>
          <w:left w:w="108" w:type="dxa"/>
          <w:bottom w:w="0" w:type="dxa"/>
          <w:right w:w="108" w:type="dxa"/>
        </w:tblCellMar>
      </w:tblPr>
      <w:tblGrid>
        <w:gridCol w:w="1094"/>
        <w:gridCol w:w="2039"/>
        <w:gridCol w:w="870"/>
        <w:gridCol w:w="2088"/>
        <w:gridCol w:w="2287"/>
        <w:gridCol w:w="4600"/>
      </w:tblGrid>
      <w:tr>
        <w:tblPrEx>
          <w:tblLayout w:type="fixed"/>
          <w:tblCellMar>
            <w:top w:w="0" w:type="dxa"/>
            <w:left w:w="108" w:type="dxa"/>
            <w:bottom w:w="0" w:type="dxa"/>
            <w:right w:w="108" w:type="dxa"/>
          </w:tblCellMar>
        </w:tblPrEx>
        <w:trPr>
          <w:trHeight w:val="659" w:hRule="atLeast"/>
        </w:trPr>
        <w:tc>
          <w:tcPr>
            <w:tcW w:w="1094" w:type="dxa"/>
            <w:tcBorders>
              <w:top w:val="nil"/>
              <w:left w:val="nil"/>
              <w:bottom w:val="nil"/>
              <w:right w:val="nil"/>
            </w:tcBorders>
            <w:shd w:val="clear" w:color="auto" w:fill="auto"/>
            <w:vAlign w:val="center"/>
          </w:tcPr>
          <w:p>
            <w:pPr>
              <w:widowControl/>
              <w:jc w:val="left"/>
              <w:rPr>
                <w:rFonts w:ascii="仿宋" w:hAnsi="仿宋" w:eastAsia="仿宋" w:cs="宋体"/>
                <w:kern w:val="0"/>
                <w:sz w:val="24"/>
                <w:szCs w:val="24"/>
              </w:rPr>
            </w:pPr>
          </w:p>
        </w:tc>
        <w:tc>
          <w:tcPr>
            <w:tcW w:w="11884" w:type="dxa"/>
            <w:gridSpan w:val="5"/>
            <w:tcBorders>
              <w:top w:val="nil"/>
              <w:left w:val="nil"/>
              <w:bottom w:val="nil"/>
              <w:right w:val="nil"/>
            </w:tcBorders>
            <w:shd w:val="clear" w:color="auto" w:fill="auto"/>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2016年人才引进计划</w:t>
            </w:r>
          </w:p>
        </w:tc>
      </w:tr>
      <w:tr>
        <w:tblPrEx>
          <w:tblLayout w:type="fixed"/>
          <w:tblCellMar>
            <w:top w:w="0" w:type="dxa"/>
            <w:left w:w="108" w:type="dxa"/>
            <w:bottom w:w="0" w:type="dxa"/>
            <w:right w:w="108" w:type="dxa"/>
          </w:tblCellMar>
        </w:tblPrEx>
        <w:trPr>
          <w:trHeight w:val="719" w:hRule="atLeast"/>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学院</w:t>
            </w:r>
          </w:p>
        </w:tc>
        <w:tc>
          <w:tcPr>
            <w:tcW w:w="2039"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岗位名称</w:t>
            </w:r>
          </w:p>
        </w:tc>
        <w:tc>
          <w:tcPr>
            <w:tcW w:w="870"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招聘               人数</w:t>
            </w:r>
          </w:p>
        </w:tc>
        <w:tc>
          <w:tcPr>
            <w:tcW w:w="2088"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学历职称要求</w:t>
            </w:r>
          </w:p>
        </w:tc>
        <w:tc>
          <w:tcPr>
            <w:tcW w:w="2287"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专业要求</w:t>
            </w:r>
          </w:p>
        </w:tc>
        <w:tc>
          <w:tcPr>
            <w:tcW w:w="4600"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岗位条件及能力要求</w:t>
            </w:r>
          </w:p>
        </w:tc>
      </w:tr>
      <w:tr>
        <w:tblPrEx>
          <w:tblLayout w:type="fixed"/>
          <w:tblCellMar>
            <w:top w:w="0" w:type="dxa"/>
            <w:left w:w="108" w:type="dxa"/>
            <w:bottom w:w="0" w:type="dxa"/>
            <w:right w:w="108" w:type="dxa"/>
          </w:tblCellMar>
        </w:tblPrEx>
        <w:trPr>
          <w:trHeight w:val="1273"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宝石与艺术设计学院</w:t>
            </w:r>
          </w:p>
        </w:tc>
        <w:tc>
          <w:tcPr>
            <w:tcW w:w="203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产品设计专业教师</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博士或副教授及以上</w:t>
            </w:r>
          </w:p>
        </w:tc>
        <w:tc>
          <w:tcPr>
            <w:tcW w:w="2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产品设计或艺术设计产品方向</w:t>
            </w:r>
          </w:p>
        </w:tc>
        <w:tc>
          <w:tcPr>
            <w:tcW w:w="4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能从事产品设计和专业英语的教学工作，并具备较强的英语口语能力；硕士有5年以上企业工作经验且本硕专业一致可酌情考虑</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珠宝首饰设计专业教师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珠宝首饰设计相关专业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珠宝首饰设计相关专业要求硕士及以上学历</w:t>
            </w:r>
          </w:p>
        </w:tc>
      </w:tr>
      <w:tr>
        <w:tblPrEx>
          <w:tblLayout w:type="fixed"/>
          <w:tblCellMar>
            <w:top w:w="0" w:type="dxa"/>
            <w:left w:w="108" w:type="dxa"/>
            <w:bottom w:w="0" w:type="dxa"/>
            <w:right w:w="108" w:type="dxa"/>
          </w:tblCellMar>
        </w:tblPrEx>
        <w:trPr>
          <w:trHeight w:val="734"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艺术史论教师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哲学或艺术理论专业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734"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首饰制作师傅</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不限</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不限</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从事首饰制作行业10年以上，熟悉首饰制作流程，首饰制版技术熟练</w:t>
            </w:r>
          </w:p>
        </w:tc>
      </w:tr>
      <w:tr>
        <w:tblPrEx>
          <w:tblLayout w:type="fixed"/>
          <w:tblCellMar>
            <w:top w:w="0" w:type="dxa"/>
            <w:left w:w="108" w:type="dxa"/>
            <w:bottom w:w="0" w:type="dxa"/>
            <w:right w:w="108" w:type="dxa"/>
          </w:tblCellMar>
        </w:tblPrEx>
        <w:trPr>
          <w:trHeight w:val="1617"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环境设计专业教师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硕士及以上 </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风景园林</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主讲园林植物、植物种植设计、园林规划设计等专业课程；有企业工程经验或行业的国家注册资格证书者，职称条件可适当放宽到副教授或高级工程师</w:t>
            </w:r>
          </w:p>
        </w:tc>
      </w:tr>
      <w:tr>
        <w:tblPrEx>
          <w:tblLayout w:type="fixed"/>
          <w:tblCellMar>
            <w:top w:w="0" w:type="dxa"/>
            <w:left w:w="108" w:type="dxa"/>
            <w:bottom w:w="0" w:type="dxa"/>
            <w:right w:w="108" w:type="dxa"/>
          </w:tblCellMar>
        </w:tblPrEx>
        <w:trPr>
          <w:trHeight w:val="86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服装与服饰设计专业教师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服装相关专业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设计学科“学术型”副高以上职称者优先</w:t>
            </w:r>
          </w:p>
        </w:tc>
      </w:tr>
      <w:tr>
        <w:tblPrEx>
          <w:tblLayout w:type="fixed"/>
          <w:tblCellMar>
            <w:top w:w="0" w:type="dxa"/>
            <w:left w:w="108" w:type="dxa"/>
            <w:bottom w:w="0" w:type="dxa"/>
            <w:right w:w="108" w:type="dxa"/>
          </w:tblCellMar>
        </w:tblPrEx>
        <w:trPr>
          <w:trHeight w:val="83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动画专业教师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动画、数字媒体或纯美术方向</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纯美术方向应有动画基础</w:t>
            </w:r>
          </w:p>
        </w:tc>
      </w:tr>
      <w:tr>
        <w:tblPrEx>
          <w:tblLayout w:type="fixed"/>
          <w:tblCellMar>
            <w:top w:w="0" w:type="dxa"/>
            <w:left w:w="108" w:type="dxa"/>
            <w:bottom w:w="0" w:type="dxa"/>
            <w:right w:w="108" w:type="dxa"/>
          </w:tblCellMar>
        </w:tblPrEx>
        <w:trPr>
          <w:trHeight w:val="83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视觉传达设计专业教师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平面设计或视觉传达设计</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有印刷工艺经验者优先</w:t>
            </w:r>
          </w:p>
        </w:tc>
      </w:tr>
      <w:tr>
        <w:tblPrEx>
          <w:tblLayout w:type="fixed"/>
          <w:tblCellMar>
            <w:top w:w="0" w:type="dxa"/>
            <w:left w:w="108" w:type="dxa"/>
            <w:bottom w:w="0" w:type="dxa"/>
            <w:right w:w="108" w:type="dxa"/>
          </w:tblCellMar>
        </w:tblPrEx>
        <w:trPr>
          <w:trHeight w:val="83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文化艺术与策划</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03"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国际交流学院、国际交流处</w:t>
            </w: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商务英语专业教师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商务英语专业或国际商务专业硕士</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0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国际经济与贸易专业教师（双语教学）</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国际经济与贸易专业或国际商务专业硕士</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国际贸易学、经济学或管理学（精通英语或有英语国家留学或访学者优先），能进行双语教学</w:t>
            </w:r>
          </w:p>
        </w:tc>
      </w:tr>
      <w:tr>
        <w:tblPrEx>
          <w:tblLayout w:type="fixed"/>
          <w:tblCellMar>
            <w:top w:w="0" w:type="dxa"/>
            <w:left w:w="108" w:type="dxa"/>
            <w:bottom w:w="0" w:type="dxa"/>
            <w:right w:w="108" w:type="dxa"/>
          </w:tblCellMar>
        </w:tblPrEx>
        <w:trPr>
          <w:trHeight w:val="100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汉语国际教育专业教师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汉语国际教育专业或汉语言文学专业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0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留学生管理员</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专业不限</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精通俄语，能够熟练使用俄语交流并且具备较好的汉俄笔译和口译能力</w:t>
            </w:r>
          </w:p>
        </w:tc>
      </w:tr>
      <w:tr>
        <w:tblPrEx>
          <w:tblLayout w:type="fixed"/>
          <w:tblCellMar>
            <w:top w:w="0" w:type="dxa"/>
            <w:left w:w="108" w:type="dxa"/>
            <w:bottom w:w="0" w:type="dxa"/>
            <w:right w:w="108" w:type="dxa"/>
          </w:tblCellMar>
        </w:tblPrEx>
        <w:trPr>
          <w:trHeight w:val="853"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经济管理学院</w:t>
            </w:r>
          </w:p>
        </w:tc>
        <w:tc>
          <w:tcPr>
            <w:tcW w:w="203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rPr>
            </w:pPr>
            <w:r>
              <w:rPr>
                <w:rFonts w:hint="eastAsia" w:ascii="仿宋" w:hAnsi="仿宋" w:eastAsia="仿宋" w:cs="宋体"/>
                <w:kern w:val="0"/>
                <w:sz w:val="22"/>
              </w:rPr>
              <w:t>经济学教师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应用经济学（产业经济学、区域经济学）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能承担经济类的核心课程教学任务，具有较强的科研能力；；计划招聘博士或教授1人、硕士1人</w:t>
            </w:r>
          </w:p>
        </w:tc>
      </w:tr>
      <w:tr>
        <w:tblPrEx>
          <w:tblLayout w:type="fixed"/>
          <w:tblCellMar>
            <w:top w:w="0" w:type="dxa"/>
            <w:left w:w="108" w:type="dxa"/>
            <w:bottom w:w="0" w:type="dxa"/>
            <w:right w:w="108" w:type="dxa"/>
          </w:tblCellMar>
        </w:tblPrEx>
        <w:trPr>
          <w:trHeight w:val="83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金融工程专业教师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金融工程专业或金融学专业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能胜任金融工程专业核心课程，有一定的科研能力；计划招聘博士或教授1人、硕士1人</w:t>
            </w:r>
          </w:p>
        </w:tc>
      </w:tr>
      <w:tr>
        <w:tblPrEx>
          <w:tblLayout w:type="fixed"/>
          <w:tblCellMar>
            <w:top w:w="0" w:type="dxa"/>
            <w:left w:w="108" w:type="dxa"/>
            <w:bottom w:w="0" w:type="dxa"/>
            <w:right w:w="108" w:type="dxa"/>
          </w:tblCellMar>
        </w:tblPrEx>
        <w:trPr>
          <w:trHeight w:val="98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财务管理专业教师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审计、财务管理、会计相关专业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能够担任审计学、高级财务管理、公司战略与风险管理、计量经济学、实证会计软件应用等课程</w:t>
            </w:r>
          </w:p>
        </w:tc>
      </w:tr>
      <w:tr>
        <w:tblPrEx>
          <w:tblLayout w:type="fixed"/>
          <w:tblCellMar>
            <w:top w:w="0" w:type="dxa"/>
            <w:left w:w="108" w:type="dxa"/>
            <w:bottom w:w="0" w:type="dxa"/>
            <w:right w:w="108" w:type="dxa"/>
          </w:tblCellMar>
        </w:tblPrEx>
        <w:trPr>
          <w:trHeight w:val="94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物流管理专业教师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物流管理</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能胜任物流管理专业教学和科研工作；计划招聘博士或教授1人、硕士1人</w:t>
            </w:r>
          </w:p>
        </w:tc>
      </w:tr>
      <w:tr>
        <w:tblPrEx>
          <w:tblLayout w:type="fixed"/>
          <w:tblCellMar>
            <w:top w:w="0" w:type="dxa"/>
            <w:left w:w="108" w:type="dxa"/>
            <w:bottom w:w="0" w:type="dxa"/>
            <w:right w:w="108" w:type="dxa"/>
          </w:tblCellMar>
        </w:tblPrEx>
        <w:trPr>
          <w:trHeight w:val="97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电子商务专业教师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电子商务或管理科学与工程专业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需要有三年以上在企业从事电子商务工作经历；；计划招聘博士或教授1人、硕士1人</w:t>
            </w:r>
          </w:p>
        </w:tc>
      </w:tr>
      <w:tr>
        <w:tblPrEx>
          <w:tblLayout w:type="fixed"/>
          <w:tblCellMar>
            <w:top w:w="0" w:type="dxa"/>
            <w:left w:w="108" w:type="dxa"/>
            <w:bottom w:w="0" w:type="dxa"/>
            <w:right w:w="108" w:type="dxa"/>
          </w:tblCellMar>
        </w:tblPrEx>
        <w:trPr>
          <w:trHeight w:val="107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工商管理专业教师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工商管理</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可胜任工商管理专业课程的教学；具有相关专业管理从业经验优先；本硕均是985、211高校毕业的硕士可以酌情考虑</w:t>
            </w:r>
          </w:p>
        </w:tc>
      </w:tr>
      <w:tr>
        <w:tblPrEx>
          <w:tblLayout w:type="fixed"/>
          <w:tblCellMar>
            <w:top w:w="0" w:type="dxa"/>
            <w:left w:w="108" w:type="dxa"/>
            <w:bottom w:w="0" w:type="dxa"/>
            <w:right w:w="108" w:type="dxa"/>
          </w:tblCellMar>
        </w:tblPrEx>
        <w:trPr>
          <w:trHeight w:val="112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人力资源管理专业教师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人力资源管理</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可胜任人力资源管理专业课程的教学；具有相关专业管理从业经验优先；本硕均是985、211高校毕业的硕士可以酌情考虑</w:t>
            </w:r>
          </w:p>
        </w:tc>
      </w:tr>
      <w:tr>
        <w:tblPrEx>
          <w:tblLayout w:type="fixed"/>
          <w:tblCellMar>
            <w:top w:w="0" w:type="dxa"/>
            <w:left w:w="108" w:type="dxa"/>
            <w:bottom w:w="0" w:type="dxa"/>
            <w:right w:w="108" w:type="dxa"/>
          </w:tblCellMar>
        </w:tblPrEx>
        <w:trPr>
          <w:trHeight w:val="704"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国际经济与贸易专业教师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国际经济与贸易专业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能胜任国际经济与贸易专业的教学任务及科研工作</w:t>
            </w:r>
          </w:p>
        </w:tc>
      </w:tr>
      <w:tr>
        <w:tblPrEx>
          <w:tblLayout w:type="fixed"/>
          <w:tblCellMar>
            <w:top w:w="0" w:type="dxa"/>
            <w:left w:w="108" w:type="dxa"/>
            <w:bottom w:w="0" w:type="dxa"/>
            <w:right w:w="108" w:type="dxa"/>
          </w:tblCellMar>
        </w:tblPrEx>
        <w:trPr>
          <w:trHeight w:val="958"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机械与材料工程学院、化学工程与资源再利用学院</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林产化工专业教师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博士或具硕士学位的高级工程师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化学化工类和木材加工相关专业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能胜任林产化工专业教学和科研工作，有企业工作经验的或留学经历的优先引进</w:t>
            </w:r>
          </w:p>
        </w:tc>
      </w:tr>
      <w:tr>
        <w:tblPrEx>
          <w:tblLayout w:type="fixed"/>
          <w:tblCellMar>
            <w:top w:w="0" w:type="dxa"/>
            <w:left w:w="108" w:type="dxa"/>
            <w:bottom w:w="0" w:type="dxa"/>
            <w:right w:w="108" w:type="dxa"/>
          </w:tblCellMar>
        </w:tblPrEx>
        <w:trPr>
          <w:trHeight w:val="95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自动化专业教师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自动化专业</w:t>
            </w:r>
          </w:p>
        </w:tc>
        <w:tc>
          <w:tcPr>
            <w:tcW w:w="46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硕士要求具有2年以上（含2年）在企业从事本专业相关工作；能胜任教学和研究工作</w:t>
            </w:r>
          </w:p>
        </w:tc>
      </w:tr>
      <w:tr>
        <w:tblPrEx>
          <w:tblLayout w:type="fixed"/>
          <w:tblCellMar>
            <w:top w:w="0" w:type="dxa"/>
            <w:left w:w="108" w:type="dxa"/>
            <w:bottom w:w="0" w:type="dxa"/>
            <w:right w:w="108" w:type="dxa"/>
          </w:tblCellMar>
        </w:tblPrEx>
        <w:trPr>
          <w:trHeight w:val="95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工业设计专业教师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工业设计</w:t>
            </w:r>
          </w:p>
        </w:tc>
        <w:tc>
          <w:tcPr>
            <w:tcW w:w="460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rPr>
            </w:pPr>
          </w:p>
        </w:tc>
      </w:tr>
      <w:tr>
        <w:tblPrEx>
          <w:tblLayout w:type="fixed"/>
          <w:tblCellMar>
            <w:top w:w="0" w:type="dxa"/>
            <w:left w:w="108" w:type="dxa"/>
            <w:bottom w:w="0" w:type="dxa"/>
            <w:right w:w="108" w:type="dxa"/>
          </w:tblCellMar>
        </w:tblPrEx>
        <w:trPr>
          <w:trHeight w:val="95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机械工程专业教师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机械工程</w:t>
            </w:r>
          </w:p>
        </w:tc>
        <w:tc>
          <w:tcPr>
            <w:tcW w:w="460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rPr>
            </w:pPr>
          </w:p>
        </w:tc>
      </w:tr>
      <w:tr>
        <w:tblPrEx>
          <w:tblLayout w:type="fixed"/>
          <w:tblCellMar>
            <w:top w:w="0" w:type="dxa"/>
            <w:left w:w="108" w:type="dxa"/>
            <w:bottom w:w="0" w:type="dxa"/>
            <w:right w:w="108" w:type="dxa"/>
          </w:tblCellMar>
        </w:tblPrEx>
        <w:trPr>
          <w:trHeight w:val="749"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制药工程专业教师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药学、中药学、药物化学</w:t>
            </w:r>
          </w:p>
        </w:tc>
        <w:tc>
          <w:tcPr>
            <w:tcW w:w="4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749"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制药设备、制药工艺学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95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茶学教师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茶学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能胜任教学和研究工作</w:t>
            </w:r>
          </w:p>
        </w:tc>
      </w:tr>
      <w:tr>
        <w:tblPrEx>
          <w:tblLayout w:type="fixed"/>
          <w:tblCellMar>
            <w:top w:w="0" w:type="dxa"/>
            <w:left w:w="108" w:type="dxa"/>
            <w:bottom w:w="0" w:type="dxa"/>
            <w:right w:w="108" w:type="dxa"/>
          </w:tblCellMar>
        </w:tblPrEx>
        <w:trPr>
          <w:trHeight w:val="898"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师范学院</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教育学专业教师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教育学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胜任小学教育和学前教育教育类课程教学和科学研究</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 学前教育专业教师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学前教育学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胜任学前教育五大领域专业课程教学和科学研究</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美术教师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美术</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胜任学前教育绘画或手工课程教学和科学研究</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英语教师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英语语言文学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具有较强科研能力；具有国（境）外学历学位者和博士学位者优先</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舞蹈教师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舞蹈学（舞蹈编导优先）</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能胜任高校舞蹈教学及编导工作；优秀的学士也可考虑</w:t>
            </w:r>
          </w:p>
        </w:tc>
      </w:tr>
      <w:tr>
        <w:tblPrEx>
          <w:tblLayout w:type="fixed"/>
          <w:tblCellMar>
            <w:top w:w="0" w:type="dxa"/>
            <w:left w:w="108" w:type="dxa"/>
            <w:bottom w:w="0" w:type="dxa"/>
            <w:right w:w="108" w:type="dxa"/>
          </w:tblCellMar>
        </w:tblPrEx>
        <w:trPr>
          <w:trHeight w:val="77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音乐教学法教师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音乐教学法</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能胜任音乐教学法教学工作及与音乐相关的课内外教学活动</w:t>
            </w:r>
          </w:p>
        </w:tc>
      </w:tr>
      <w:tr>
        <w:tblPrEx>
          <w:tblLayout w:type="fixed"/>
          <w:tblCellMar>
            <w:top w:w="0" w:type="dxa"/>
            <w:left w:w="108" w:type="dxa"/>
            <w:bottom w:w="0" w:type="dxa"/>
            <w:right w:w="108" w:type="dxa"/>
          </w:tblCellMar>
        </w:tblPrEx>
        <w:trPr>
          <w:trHeight w:val="89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合唱指挥教师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指挥专业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有带合唱团及乐团经历优先考虑</w:t>
            </w:r>
          </w:p>
        </w:tc>
      </w:tr>
      <w:tr>
        <w:tblPrEx>
          <w:tblLayout w:type="fixed"/>
          <w:tblCellMar>
            <w:top w:w="0" w:type="dxa"/>
            <w:left w:w="108" w:type="dxa"/>
            <w:bottom w:w="0" w:type="dxa"/>
            <w:right w:w="108" w:type="dxa"/>
          </w:tblCellMar>
        </w:tblPrEx>
        <w:trPr>
          <w:trHeight w:val="674" w:hRule="atLeast"/>
        </w:trPr>
        <w:tc>
          <w:tcPr>
            <w:tcW w:w="10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信息与电子工程学院</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软件工程学科带头人</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软件工程</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973" w:hRule="atLeast"/>
        </w:trPr>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软件工程专业技术教师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硕士及以上 </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软件工程、计算理论</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能胜任软件工程本科专业教学和科研（有企业实践或大数据云计算经历者优先)</w:t>
            </w:r>
          </w:p>
        </w:tc>
      </w:tr>
      <w:tr>
        <w:tblPrEx>
          <w:tblLayout w:type="fixed"/>
          <w:tblCellMar>
            <w:top w:w="0" w:type="dxa"/>
            <w:left w:w="108" w:type="dxa"/>
            <w:bottom w:w="0" w:type="dxa"/>
            <w:right w:w="108" w:type="dxa"/>
          </w:tblCellMar>
        </w:tblPrEx>
        <w:trPr>
          <w:trHeight w:val="1572" w:hRule="atLeast"/>
        </w:trPr>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数字媒体技术专业教师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数字媒体技术、计算机应用技术、现代教育技术</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熟练掌握常见建模及动画设计软件或影视制作及UI设计软件，掌握安卓或IOS软件开发技术，具备独立开发APP的能力；有相应岗位从业经历者优先</w:t>
            </w:r>
          </w:p>
        </w:tc>
      </w:tr>
      <w:tr>
        <w:tblPrEx>
          <w:tblLayout w:type="fixed"/>
          <w:tblCellMar>
            <w:top w:w="0" w:type="dxa"/>
            <w:left w:w="108" w:type="dxa"/>
            <w:bottom w:w="0" w:type="dxa"/>
            <w:right w:w="108" w:type="dxa"/>
          </w:tblCellMar>
        </w:tblPrEx>
        <w:trPr>
          <w:trHeight w:val="1153" w:hRule="atLeast"/>
        </w:trPr>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物联网工程专业教师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嵌入式系统方向、智能感知方向、智能信息处理方向 </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823" w:hRule="atLeast"/>
        </w:trPr>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计算机科学与技术专业带头人</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计算机科学与技术专业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886" w:hRule="atLeast"/>
        </w:trPr>
        <w:tc>
          <w:tcPr>
            <w:tcW w:w="10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计算机科学与技术专业教师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计算机科学与技术专业（网络与分布计算、图形学与图像处理、智能信息检索、网络安全等方向）</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参与过具体项目的研发或工程经验者优先</w:t>
            </w:r>
          </w:p>
        </w:tc>
      </w:tr>
      <w:tr>
        <w:tblPrEx>
          <w:tblLayout w:type="fixed"/>
          <w:tblCellMar>
            <w:top w:w="0" w:type="dxa"/>
            <w:left w:w="108" w:type="dxa"/>
            <w:bottom w:w="0" w:type="dxa"/>
            <w:right w:w="108" w:type="dxa"/>
          </w:tblCellMar>
        </w:tblPrEx>
        <w:trPr>
          <w:trHeight w:val="1048"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信息与电子工程学院</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通信工程专业教师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通信工程专业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有企业工作经历者优先</w:t>
            </w:r>
          </w:p>
        </w:tc>
      </w:tr>
      <w:tr>
        <w:tblPrEx>
          <w:tblLayout w:type="fixed"/>
          <w:tblCellMar>
            <w:top w:w="0" w:type="dxa"/>
            <w:left w:w="108" w:type="dxa"/>
            <w:bottom w:w="0" w:type="dxa"/>
            <w:right w:w="108" w:type="dxa"/>
          </w:tblCellMar>
        </w:tblPrEx>
        <w:trPr>
          <w:trHeight w:val="104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电子信息工程专业教师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信息与信号处理、图像处理、智能控制等方向</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4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电子与科学技术专业教师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硕士或副高</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电路与系统，微电子学，光电工程等</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4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数学专业教师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数学类</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104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物理专业教师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光电信息技术专业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r>
        <w:tblPrEx>
          <w:tblLayout w:type="fixed"/>
          <w:tblCellMar>
            <w:top w:w="0" w:type="dxa"/>
            <w:left w:w="108" w:type="dxa"/>
            <w:bottom w:w="0" w:type="dxa"/>
            <w:right w:w="108" w:type="dxa"/>
          </w:tblCellMar>
        </w:tblPrEx>
        <w:trPr>
          <w:trHeight w:val="2560" w:hRule="atLeast"/>
        </w:trPr>
        <w:tc>
          <w:tcPr>
            <w:tcW w:w="109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文法学院、社科部</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法学专业教师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2</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民商法、法理学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民法案例分析、民法案例演示、合同法学、物权法、债权法、债权责任法或法学导论、法理学等课程；硕士毕业生须本硕都是958高校毕业；具有社会律师、公职律师、公司律师、公司法律顾问或者立法工作者、法官、检察官等行业背景者优先</w:t>
            </w:r>
          </w:p>
        </w:tc>
      </w:tr>
      <w:tr>
        <w:tblPrEx>
          <w:tblLayout w:type="fixed"/>
          <w:tblCellMar>
            <w:top w:w="0" w:type="dxa"/>
            <w:left w:w="108" w:type="dxa"/>
            <w:bottom w:w="0" w:type="dxa"/>
            <w:right w:w="108" w:type="dxa"/>
          </w:tblCellMar>
        </w:tblPrEx>
        <w:trPr>
          <w:trHeight w:val="2051" w:hRule="atLeast"/>
        </w:trPr>
        <w:tc>
          <w:tcPr>
            <w:tcW w:w="109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行政管理</w:t>
            </w:r>
            <w:r>
              <w:rPr>
                <w:rFonts w:hint="eastAsia" w:ascii="仿宋" w:hAnsi="仿宋" w:eastAsia="仿宋" w:cs="宋体"/>
                <w:kern w:val="0"/>
                <w:sz w:val="22"/>
              </w:rPr>
              <w:br w:type="textWrapping"/>
            </w:r>
            <w:r>
              <w:rPr>
                <w:rFonts w:hint="eastAsia" w:ascii="仿宋" w:hAnsi="仿宋" w:eastAsia="仿宋" w:cs="宋体"/>
                <w:kern w:val="0"/>
                <w:sz w:val="22"/>
              </w:rPr>
              <w:t>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3</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公共管理、行政管理、社会雪、政治学或相近专业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行政管理、机关管理的基本原理与发放、人力资源管理、社会调查、社区管理、公文写作和公务礼仪；硕士毕业生须本硕都是958高校毕业；具有行政管理或者企业管理等行业背景3年以上工作经历的副高以上职称者优先</w:t>
            </w:r>
          </w:p>
        </w:tc>
      </w:tr>
      <w:tr>
        <w:tblPrEx>
          <w:tblLayout w:type="fixed"/>
          <w:tblCellMar>
            <w:top w:w="0" w:type="dxa"/>
            <w:left w:w="108" w:type="dxa"/>
            <w:bottom w:w="0" w:type="dxa"/>
            <w:right w:w="108" w:type="dxa"/>
          </w:tblCellMar>
        </w:tblPrEx>
        <w:trPr>
          <w:trHeight w:val="1871" w:hRule="atLeast"/>
        </w:trPr>
        <w:tc>
          <w:tcPr>
            <w:tcW w:w="109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公共管理专业教师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3</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人力资源管理、理科学与工程、业管理、公共事业管理、公共经济学等相关管理专业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能主讲公共事业管理与人力资源管理专业课程，硕士毕业生须本硕均是985高校毕业；具有公共事业管理或企业管理等行业背景者优先</w:t>
            </w:r>
          </w:p>
        </w:tc>
      </w:tr>
      <w:tr>
        <w:tblPrEx>
          <w:tblLayout w:type="fixed"/>
          <w:tblCellMar>
            <w:top w:w="0" w:type="dxa"/>
            <w:left w:w="108" w:type="dxa"/>
            <w:bottom w:w="0" w:type="dxa"/>
            <w:right w:w="108" w:type="dxa"/>
          </w:tblCellMar>
        </w:tblPrEx>
        <w:trPr>
          <w:trHeight w:val="1602" w:hRule="atLeast"/>
        </w:trPr>
        <w:tc>
          <w:tcPr>
            <w:tcW w:w="109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新闻学专业教师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3</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硕士及以上或副教授及以上</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新闻学；广播电视学；广播电视工程；网络与新媒体等相关专业</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能主讲新闻学相关课程；近5年具有2年以上媒体从业背景；硕士毕业生须本硕均是985高校毕业；具有资深新闻工作经历等行业背景副高以上职称者优先</w:t>
            </w:r>
          </w:p>
        </w:tc>
      </w:tr>
      <w:tr>
        <w:tblPrEx>
          <w:tblLayout w:type="fixed"/>
          <w:tblCellMar>
            <w:top w:w="0" w:type="dxa"/>
            <w:left w:w="108" w:type="dxa"/>
            <w:bottom w:w="0" w:type="dxa"/>
            <w:right w:w="108" w:type="dxa"/>
          </w:tblCellMar>
        </w:tblPrEx>
        <w:trPr>
          <w:trHeight w:val="734" w:hRule="atLeast"/>
        </w:trPr>
        <w:tc>
          <w:tcPr>
            <w:tcW w:w="1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文法学院、社科部</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哲学专业教师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3</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科技哲学、逻辑学、宗教学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能主讲科技哲学、逻辑学、宗教学或宗教史学等课程</w:t>
            </w:r>
          </w:p>
        </w:tc>
      </w:tr>
      <w:tr>
        <w:tblPrEx>
          <w:tblLayout w:type="fixed"/>
          <w:tblCellMar>
            <w:top w:w="0" w:type="dxa"/>
            <w:left w:w="108" w:type="dxa"/>
            <w:bottom w:w="0" w:type="dxa"/>
            <w:right w:w="108" w:type="dxa"/>
          </w:tblCellMar>
        </w:tblPrEx>
        <w:trPr>
          <w:trHeight w:val="734"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马克思主义</w:t>
            </w:r>
            <w:r>
              <w:rPr>
                <w:rFonts w:hint="eastAsia" w:ascii="仿宋" w:hAnsi="仿宋" w:eastAsia="仿宋" w:cs="宋体"/>
                <w:kern w:val="0"/>
                <w:sz w:val="22"/>
              </w:rPr>
              <w:br w:type="textWrapping"/>
            </w:r>
            <w:r>
              <w:rPr>
                <w:rFonts w:hint="eastAsia" w:ascii="仿宋" w:hAnsi="仿宋" w:eastAsia="仿宋" w:cs="宋体"/>
                <w:kern w:val="0"/>
                <w:sz w:val="22"/>
              </w:rPr>
              <w:t>基本原理教师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马克思主义哲学</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能从事马克思主义基本原理课程教学</w:t>
            </w:r>
          </w:p>
        </w:tc>
      </w:tr>
      <w:tr>
        <w:tblPrEx>
          <w:tblLayout w:type="fixed"/>
          <w:tblCellMar>
            <w:top w:w="0" w:type="dxa"/>
            <w:left w:w="108" w:type="dxa"/>
            <w:bottom w:w="0" w:type="dxa"/>
            <w:right w:w="108" w:type="dxa"/>
          </w:tblCellMar>
        </w:tblPrEx>
        <w:trPr>
          <w:trHeight w:val="838"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形势与政策教师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 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政治学、国际关系</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形势与政策课堂教学</w:t>
            </w:r>
          </w:p>
        </w:tc>
      </w:tr>
      <w:tr>
        <w:tblPrEx>
          <w:tblLayout w:type="fixed"/>
          <w:tblCellMar>
            <w:top w:w="0" w:type="dxa"/>
            <w:left w:w="108" w:type="dxa"/>
            <w:bottom w:w="0" w:type="dxa"/>
            <w:right w:w="108" w:type="dxa"/>
          </w:tblCellMar>
        </w:tblPrEx>
        <w:trPr>
          <w:trHeight w:val="103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中国近现代史纲要教师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 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中国近现代史或相近学科</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能主讲中国近现代史纲要及毛泽东思想与中国特色社会主义理论体系概论等课程</w:t>
            </w:r>
          </w:p>
        </w:tc>
      </w:tr>
      <w:tr>
        <w:tblPrEx>
          <w:tblLayout w:type="fixed"/>
          <w:tblCellMar>
            <w:top w:w="0" w:type="dxa"/>
            <w:left w:w="108" w:type="dxa"/>
            <w:bottom w:w="0" w:type="dxa"/>
            <w:right w:w="108" w:type="dxa"/>
          </w:tblCellMar>
        </w:tblPrEx>
        <w:trPr>
          <w:trHeight w:val="103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思想道德与法律基础教师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 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思想政治教育</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能从事马克思主义基本原理等思想政治理论课教学</w:t>
            </w:r>
          </w:p>
        </w:tc>
      </w:tr>
      <w:tr>
        <w:tblPrEx>
          <w:tblLayout w:type="fixed"/>
          <w:tblCellMar>
            <w:top w:w="0" w:type="dxa"/>
            <w:left w:w="108" w:type="dxa"/>
            <w:bottom w:w="0" w:type="dxa"/>
            <w:right w:w="108" w:type="dxa"/>
          </w:tblCellMar>
        </w:tblPrEx>
        <w:trPr>
          <w:trHeight w:val="1153" w:hRule="atLeast"/>
        </w:trPr>
        <w:tc>
          <w:tcPr>
            <w:tcW w:w="1094"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rPr>
            </w:pP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毛泽东思想和中国特色社会主义体系概论教师</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1</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xml:space="preserve"> 博士或教授</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马克思主义中国化</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能充实马克思主义基本原理等思想政治理论课教学</w:t>
            </w:r>
          </w:p>
        </w:tc>
      </w:tr>
      <w:tr>
        <w:tblPrEx>
          <w:tblLayout w:type="fixed"/>
          <w:tblCellMar>
            <w:top w:w="0" w:type="dxa"/>
            <w:left w:w="108" w:type="dxa"/>
            <w:bottom w:w="0" w:type="dxa"/>
            <w:right w:w="108" w:type="dxa"/>
          </w:tblCellMar>
        </w:tblPrEx>
        <w:trPr>
          <w:trHeight w:val="464" w:hRule="atLeast"/>
        </w:trPr>
        <w:tc>
          <w:tcPr>
            <w:tcW w:w="109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c>
          <w:tcPr>
            <w:tcW w:w="203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合计</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94</w:t>
            </w:r>
          </w:p>
        </w:tc>
        <w:tc>
          <w:tcPr>
            <w:tcW w:w="20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rPr>
            </w:pPr>
            <w:r>
              <w:rPr>
                <w:rFonts w:hint="eastAsia" w:ascii="仿宋" w:hAnsi="仿宋" w:eastAsia="仿宋" w:cs="宋体"/>
                <w:kern w:val="0"/>
                <w:sz w:val="22"/>
              </w:rPr>
              <w:t>　</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2"/>
              </w:rPr>
            </w:pPr>
            <w:r>
              <w:rPr>
                <w:rFonts w:hint="eastAsia" w:ascii="仿宋" w:hAnsi="仿宋" w:eastAsia="仿宋" w:cs="宋体"/>
                <w:kern w:val="0"/>
                <w:sz w:val="22"/>
              </w:rPr>
              <w:t>　</w:t>
            </w:r>
          </w:p>
        </w:tc>
      </w:tr>
    </w:tbl>
    <w:p>
      <w:pPr>
        <w:spacing w:line="500" w:lineRule="exact"/>
        <w:jc w:val="center"/>
        <w:rPr>
          <w:rFonts w:hint="eastAsia" w:ascii="宋体" w:hAnsi="宋体"/>
          <w:b/>
          <w:sz w:val="44"/>
          <w:szCs w:val="44"/>
        </w:rPr>
      </w:pPr>
    </w:p>
    <w:p>
      <w:pPr>
        <w:spacing w:line="500" w:lineRule="exact"/>
        <w:jc w:val="center"/>
        <w:rPr>
          <w:rFonts w:hint="eastAsia" w:ascii="宋体" w:hAnsi="宋体"/>
          <w:b/>
          <w:sz w:val="44"/>
          <w:szCs w:val="44"/>
        </w:rPr>
      </w:pPr>
    </w:p>
    <w:p>
      <w:pPr>
        <w:spacing w:line="500" w:lineRule="exact"/>
        <w:jc w:val="center"/>
        <w:rPr>
          <w:rFonts w:hint="eastAsia" w:ascii="宋体" w:hAnsi="宋体"/>
          <w:b/>
          <w:sz w:val="44"/>
          <w:szCs w:val="44"/>
        </w:rPr>
      </w:pPr>
      <w:bookmarkStart w:id="0" w:name="_GoBack"/>
      <w:bookmarkEnd w:id="0"/>
      <w:r>
        <w:rPr>
          <w:rFonts w:hint="eastAsia" w:ascii="宋体" w:hAnsi="宋体"/>
          <w:b/>
          <w:sz w:val="44"/>
          <w:szCs w:val="44"/>
        </w:rPr>
        <w:t>梧州学院人才引进政策</w:t>
      </w:r>
    </w:p>
    <w:p>
      <w:pPr>
        <w:spacing w:line="500" w:lineRule="exact"/>
        <w:jc w:val="center"/>
        <w:rPr>
          <w:rFonts w:hint="eastAsia" w:ascii="仿宋_GB2312" w:eastAsia="仿宋_GB2312"/>
          <w:b/>
          <w:sz w:val="32"/>
          <w:szCs w:val="32"/>
        </w:rPr>
      </w:pPr>
    </w:p>
    <w:tbl>
      <w:tblPr>
        <w:tblStyle w:val="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658"/>
        <w:gridCol w:w="992"/>
        <w:gridCol w:w="1134"/>
        <w:gridCol w:w="1276"/>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top"/>
          </w:tcPr>
          <w:p>
            <w:pPr>
              <w:spacing w:line="400" w:lineRule="exact"/>
              <w:jc w:val="center"/>
              <w:rPr>
                <w:rFonts w:ascii="宋体" w:hAnsi="宋体"/>
                <w:b/>
                <w:szCs w:val="21"/>
              </w:rPr>
            </w:pPr>
            <w:r>
              <w:rPr>
                <w:rFonts w:hint="eastAsia" w:ascii="宋体" w:hAnsi="宋体"/>
                <w:b/>
                <w:szCs w:val="21"/>
              </w:rPr>
              <w:t>序</w:t>
            </w:r>
          </w:p>
          <w:p>
            <w:pPr>
              <w:spacing w:line="400" w:lineRule="exact"/>
              <w:jc w:val="center"/>
              <w:rPr>
                <w:rFonts w:ascii="宋体" w:hAnsi="宋体"/>
                <w:b/>
                <w:szCs w:val="21"/>
              </w:rPr>
            </w:pPr>
            <w:r>
              <w:rPr>
                <w:rFonts w:hint="eastAsia" w:ascii="宋体" w:hAnsi="宋体"/>
                <w:b/>
                <w:szCs w:val="21"/>
              </w:rPr>
              <w:t>号</w:t>
            </w:r>
          </w:p>
        </w:tc>
        <w:tc>
          <w:tcPr>
            <w:tcW w:w="2658" w:type="dxa"/>
            <w:vAlign w:val="center"/>
          </w:tcPr>
          <w:p>
            <w:pPr>
              <w:spacing w:line="400" w:lineRule="exact"/>
              <w:jc w:val="center"/>
              <w:rPr>
                <w:rFonts w:ascii="宋体" w:hAnsi="宋体"/>
                <w:b/>
                <w:szCs w:val="21"/>
              </w:rPr>
            </w:pPr>
            <w:r>
              <w:rPr>
                <w:rFonts w:hint="eastAsia" w:ascii="宋体" w:hAnsi="宋体"/>
                <w:b/>
                <w:szCs w:val="21"/>
              </w:rPr>
              <w:t>引进人员类别</w:t>
            </w:r>
          </w:p>
        </w:tc>
        <w:tc>
          <w:tcPr>
            <w:tcW w:w="992" w:type="dxa"/>
            <w:vAlign w:val="center"/>
          </w:tcPr>
          <w:p>
            <w:pPr>
              <w:spacing w:line="400" w:lineRule="exact"/>
              <w:jc w:val="center"/>
              <w:rPr>
                <w:rFonts w:ascii="宋体" w:hAnsi="宋体"/>
                <w:b/>
                <w:szCs w:val="21"/>
              </w:rPr>
            </w:pPr>
            <w:r>
              <w:rPr>
                <w:rFonts w:hint="eastAsia" w:ascii="宋体" w:hAnsi="宋体"/>
                <w:b/>
                <w:szCs w:val="21"/>
              </w:rPr>
              <w:t>安家费（税前）</w:t>
            </w:r>
          </w:p>
        </w:tc>
        <w:tc>
          <w:tcPr>
            <w:tcW w:w="1134" w:type="dxa"/>
            <w:vAlign w:val="top"/>
          </w:tcPr>
          <w:p>
            <w:pPr>
              <w:spacing w:line="400" w:lineRule="exact"/>
              <w:jc w:val="center"/>
              <w:rPr>
                <w:rFonts w:hint="eastAsia" w:ascii="宋体" w:hAnsi="宋体"/>
                <w:b/>
                <w:szCs w:val="21"/>
              </w:rPr>
            </w:pPr>
            <w:r>
              <w:rPr>
                <w:rFonts w:hint="eastAsia" w:ascii="宋体" w:hAnsi="宋体"/>
                <w:b/>
                <w:szCs w:val="21"/>
              </w:rPr>
              <w:t>购房补贴</w:t>
            </w:r>
          </w:p>
          <w:p>
            <w:pPr>
              <w:spacing w:line="400" w:lineRule="exact"/>
              <w:jc w:val="center"/>
              <w:rPr>
                <w:rFonts w:hint="eastAsia" w:ascii="宋体" w:hAnsi="宋体"/>
                <w:b/>
                <w:szCs w:val="21"/>
              </w:rPr>
            </w:pPr>
            <w:r>
              <w:rPr>
                <w:rFonts w:hint="eastAsia" w:ascii="宋体" w:hAnsi="宋体"/>
                <w:b/>
                <w:szCs w:val="21"/>
              </w:rPr>
              <w:t>（税前）</w:t>
            </w:r>
          </w:p>
        </w:tc>
        <w:tc>
          <w:tcPr>
            <w:tcW w:w="1276" w:type="dxa"/>
            <w:vAlign w:val="center"/>
          </w:tcPr>
          <w:p>
            <w:pPr>
              <w:spacing w:line="400" w:lineRule="exact"/>
              <w:jc w:val="center"/>
              <w:rPr>
                <w:rFonts w:hint="eastAsia" w:ascii="宋体" w:hAnsi="宋体"/>
                <w:b/>
                <w:szCs w:val="21"/>
              </w:rPr>
            </w:pPr>
            <w:r>
              <w:rPr>
                <w:rFonts w:hint="eastAsia" w:ascii="宋体" w:hAnsi="宋体"/>
                <w:b/>
                <w:szCs w:val="21"/>
              </w:rPr>
              <w:t>过渡租房</w:t>
            </w:r>
          </w:p>
          <w:p>
            <w:pPr>
              <w:spacing w:line="400" w:lineRule="exact"/>
              <w:jc w:val="center"/>
              <w:rPr>
                <w:rFonts w:ascii="宋体" w:hAnsi="宋体"/>
                <w:b/>
                <w:szCs w:val="21"/>
              </w:rPr>
            </w:pPr>
            <w:r>
              <w:rPr>
                <w:rFonts w:hint="eastAsia" w:ascii="宋体" w:hAnsi="宋体"/>
                <w:b/>
                <w:szCs w:val="21"/>
              </w:rPr>
              <w:t>补贴</w:t>
            </w:r>
          </w:p>
        </w:tc>
        <w:tc>
          <w:tcPr>
            <w:tcW w:w="992" w:type="dxa"/>
            <w:vAlign w:val="center"/>
          </w:tcPr>
          <w:p>
            <w:pPr>
              <w:spacing w:line="400" w:lineRule="exact"/>
              <w:jc w:val="center"/>
              <w:rPr>
                <w:rFonts w:ascii="宋体" w:hAnsi="宋体"/>
                <w:b/>
                <w:szCs w:val="21"/>
              </w:rPr>
            </w:pPr>
            <w:r>
              <w:rPr>
                <w:rFonts w:hint="eastAsia" w:ascii="宋体" w:hAnsi="宋体"/>
                <w:b/>
                <w:szCs w:val="21"/>
              </w:rPr>
              <w:t>科研启动经费</w:t>
            </w:r>
          </w:p>
        </w:tc>
        <w:tc>
          <w:tcPr>
            <w:tcW w:w="993" w:type="dxa"/>
            <w:vAlign w:val="center"/>
          </w:tcPr>
          <w:p>
            <w:pPr>
              <w:spacing w:line="400" w:lineRule="exact"/>
              <w:jc w:val="center"/>
              <w:rPr>
                <w:rFonts w:hint="eastAsia" w:ascii="宋体" w:hAnsi="宋体"/>
                <w:b/>
                <w:szCs w:val="21"/>
              </w:rPr>
            </w:pPr>
            <w:r>
              <w:rPr>
                <w:rFonts w:hint="eastAsia" w:ascii="宋体" w:hAnsi="宋体"/>
                <w:b/>
                <w:szCs w:val="21"/>
              </w:rPr>
              <w:t>工作</w:t>
            </w:r>
          </w:p>
          <w:p>
            <w:pPr>
              <w:spacing w:line="400" w:lineRule="exact"/>
              <w:jc w:val="center"/>
              <w:rPr>
                <w:rFonts w:ascii="宋体" w:hAnsi="宋体"/>
                <w:b/>
                <w:szCs w:val="21"/>
              </w:rPr>
            </w:pPr>
            <w:r>
              <w:rPr>
                <w:rFonts w:hint="eastAsia" w:ascii="宋体" w:hAnsi="宋体"/>
                <w:b/>
                <w:szCs w:val="21"/>
              </w:rPr>
              <w:t>电脑</w:t>
            </w:r>
          </w:p>
        </w:tc>
        <w:tc>
          <w:tcPr>
            <w:tcW w:w="992" w:type="dxa"/>
            <w:vAlign w:val="center"/>
          </w:tcPr>
          <w:p>
            <w:pPr>
              <w:spacing w:line="400" w:lineRule="exact"/>
              <w:jc w:val="center"/>
              <w:rPr>
                <w:rFonts w:hint="eastAsia" w:ascii="宋体" w:hAnsi="宋体"/>
                <w:b/>
                <w:szCs w:val="21"/>
              </w:rPr>
            </w:pPr>
            <w:r>
              <w:rPr>
                <w:rFonts w:hint="eastAsia" w:ascii="宋体" w:hAnsi="宋体"/>
                <w:b/>
                <w:szCs w:val="21"/>
              </w:rPr>
              <w:t>家属</w:t>
            </w:r>
          </w:p>
          <w:p>
            <w:pPr>
              <w:spacing w:line="400" w:lineRule="exact"/>
              <w:jc w:val="center"/>
              <w:rPr>
                <w:rFonts w:ascii="宋体" w:hAnsi="宋体"/>
                <w:b/>
                <w:szCs w:val="21"/>
              </w:rPr>
            </w:pPr>
            <w:r>
              <w:rPr>
                <w:rFonts w:hint="eastAsia" w:ascii="宋体" w:hAnsi="宋体"/>
                <w:b/>
                <w:szCs w:val="21"/>
              </w:rPr>
              <w:t>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spacing w:line="400" w:lineRule="exact"/>
              <w:jc w:val="center"/>
              <w:rPr>
                <w:rFonts w:hint="eastAsia" w:ascii="宋体" w:hAnsi="宋体"/>
                <w:szCs w:val="21"/>
              </w:rPr>
            </w:pPr>
            <w:r>
              <w:rPr>
                <w:rFonts w:hint="eastAsia" w:ascii="宋体" w:hAnsi="宋体"/>
                <w:szCs w:val="21"/>
              </w:rPr>
              <w:t>1</w:t>
            </w:r>
          </w:p>
        </w:tc>
        <w:tc>
          <w:tcPr>
            <w:tcW w:w="2658" w:type="dxa"/>
            <w:vAlign w:val="center"/>
          </w:tcPr>
          <w:p>
            <w:pPr>
              <w:spacing w:line="400" w:lineRule="exact"/>
              <w:jc w:val="center"/>
              <w:rPr>
                <w:rFonts w:hint="eastAsia" w:ascii="宋体" w:hAnsi="宋体"/>
                <w:szCs w:val="21"/>
              </w:rPr>
            </w:pPr>
            <w:r>
              <w:rPr>
                <w:rFonts w:hint="eastAsia" w:ascii="宋体" w:hAnsi="宋体"/>
                <w:szCs w:val="21"/>
              </w:rPr>
              <w:t>紧缺重点学科高层次人才——具有博士学位的正高级职称人员</w:t>
            </w:r>
          </w:p>
        </w:tc>
        <w:tc>
          <w:tcPr>
            <w:tcW w:w="992" w:type="dxa"/>
            <w:vAlign w:val="center"/>
          </w:tcPr>
          <w:p>
            <w:pPr>
              <w:spacing w:line="400" w:lineRule="exact"/>
              <w:jc w:val="center"/>
              <w:rPr>
                <w:rFonts w:hint="eastAsia" w:ascii="宋体" w:hAnsi="宋体"/>
                <w:szCs w:val="21"/>
              </w:rPr>
            </w:pPr>
            <w:r>
              <w:rPr>
                <w:rFonts w:hint="eastAsia" w:ascii="宋体" w:hAnsi="宋体"/>
                <w:szCs w:val="21"/>
              </w:rPr>
              <w:t>不低于40万元</w:t>
            </w:r>
          </w:p>
        </w:tc>
        <w:tc>
          <w:tcPr>
            <w:tcW w:w="1134" w:type="dxa"/>
            <w:vAlign w:val="center"/>
          </w:tcPr>
          <w:p>
            <w:pPr>
              <w:spacing w:line="400" w:lineRule="exact"/>
              <w:jc w:val="center"/>
              <w:rPr>
                <w:rFonts w:hint="eastAsia" w:ascii="宋体" w:hAnsi="宋体"/>
                <w:szCs w:val="21"/>
              </w:rPr>
            </w:pPr>
            <w:r>
              <w:rPr>
                <w:rFonts w:hint="eastAsia" w:ascii="宋体" w:hAnsi="宋体"/>
                <w:szCs w:val="21"/>
              </w:rPr>
              <w:t>50万元</w:t>
            </w:r>
          </w:p>
        </w:tc>
        <w:tc>
          <w:tcPr>
            <w:tcW w:w="1276" w:type="dxa"/>
            <w:vAlign w:val="center"/>
          </w:tcPr>
          <w:p>
            <w:pPr>
              <w:spacing w:line="400" w:lineRule="exact"/>
              <w:jc w:val="center"/>
              <w:rPr>
                <w:rFonts w:hint="eastAsia" w:ascii="宋体" w:hAnsi="宋体"/>
                <w:szCs w:val="21"/>
              </w:rPr>
            </w:pPr>
            <w:r>
              <w:rPr>
                <w:rFonts w:hint="eastAsia" w:ascii="宋体" w:hAnsi="宋体"/>
                <w:szCs w:val="21"/>
              </w:rPr>
              <w:t>1000元/月（连续发放2年）</w:t>
            </w:r>
          </w:p>
        </w:tc>
        <w:tc>
          <w:tcPr>
            <w:tcW w:w="992" w:type="dxa"/>
            <w:vAlign w:val="center"/>
          </w:tcPr>
          <w:p>
            <w:pPr>
              <w:spacing w:line="400" w:lineRule="exact"/>
              <w:jc w:val="center"/>
              <w:rPr>
                <w:rFonts w:hint="eastAsia" w:ascii="宋体" w:hAnsi="宋体"/>
                <w:szCs w:val="21"/>
              </w:rPr>
            </w:pPr>
            <w:r>
              <w:rPr>
                <w:rFonts w:hint="eastAsia" w:ascii="宋体" w:hAnsi="宋体"/>
                <w:szCs w:val="21"/>
              </w:rPr>
              <w:t>15万元</w:t>
            </w:r>
          </w:p>
        </w:tc>
        <w:tc>
          <w:tcPr>
            <w:tcW w:w="993" w:type="dxa"/>
            <w:vAlign w:val="center"/>
          </w:tcPr>
          <w:p>
            <w:pPr>
              <w:spacing w:line="300" w:lineRule="exact"/>
              <w:jc w:val="center"/>
              <w:rPr>
                <w:rFonts w:ascii="宋体" w:hAnsi="宋体"/>
                <w:szCs w:val="21"/>
              </w:rPr>
            </w:pPr>
            <w:r>
              <w:rPr>
                <w:rFonts w:hint="eastAsia" w:ascii="宋体" w:hAnsi="宋体"/>
                <w:szCs w:val="21"/>
              </w:rPr>
              <w:t>1台</w:t>
            </w:r>
          </w:p>
        </w:tc>
        <w:tc>
          <w:tcPr>
            <w:tcW w:w="992" w:type="dxa"/>
            <w:vAlign w:val="center"/>
          </w:tcPr>
          <w:p>
            <w:pPr>
              <w:spacing w:line="400" w:lineRule="exact"/>
              <w:jc w:val="center"/>
              <w:rPr>
                <w:rFonts w:hint="eastAsia" w:ascii="宋体" w:hAnsi="宋体"/>
                <w:szCs w:val="21"/>
              </w:rP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spacing w:line="400" w:lineRule="exact"/>
              <w:jc w:val="center"/>
              <w:rPr>
                <w:rFonts w:hint="eastAsia" w:ascii="宋体" w:hAnsi="宋体"/>
                <w:szCs w:val="21"/>
              </w:rPr>
            </w:pPr>
            <w:r>
              <w:rPr>
                <w:rFonts w:hint="eastAsia" w:ascii="宋体" w:hAnsi="宋体"/>
                <w:szCs w:val="21"/>
              </w:rPr>
              <w:t>2</w:t>
            </w:r>
          </w:p>
        </w:tc>
        <w:tc>
          <w:tcPr>
            <w:tcW w:w="2658" w:type="dxa"/>
            <w:vAlign w:val="center"/>
          </w:tcPr>
          <w:p>
            <w:pPr>
              <w:spacing w:line="400" w:lineRule="exact"/>
              <w:jc w:val="center"/>
              <w:rPr>
                <w:rFonts w:hint="eastAsia" w:ascii="宋体" w:hAnsi="宋体"/>
                <w:szCs w:val="21"/>
              </w:rPr>
            </w:pPr>
            <w:r>
              <w:rPr>
                <w:rFonts w:hint="eastAsia" w:ascii="宋体" w:hAnsi="宋体"/>
                <w:szCs w:val="21"/>
              </w:rPr>
              <w:t>紧缺重点学科高层次人才——</w:t>
            </w:r>
            <w:r>
              <w:rPr>
                <w:rFonts w:hint="eastAsia" w:ascii="宋体" w:hAnsi="宋体" w:cs="宋体"/>
                <w:szCs w:val="21"/>
              </w:rPr>
              <w:t>正高级职称人员，或具有副高级职称的博士</w:t>
            </w:r>
          </w:p>
        </w:tc>
        <w:tc>
          <w:tcPr>
            <w:tcW w:w="992" w:type="dxa"/>
            <w:vAlign w:val="center"/>
          </w:tcPr>
          <w:p>
            <w:pPr>
              <w:spacing w:line="400" w:lineRule="exact"/>
              <w:jc w:val="center"/>
              <w:rPr>
                <w:rFonts w:hint="eastAsia" w:ascii="宋体" w:hAnsi="宋体"/>
                <w:szCs w:val="21"/>
              </w:rPr>
            </w:pPr>
            <w:r>
              <w:rPr>
                <w:rFonts w:hint="eastAsia" w:ascii="宋体" w:hAnsi="宋体"/>
                <w:szCs w:val="21"/>
              </w:rPr>
              <w:t>不低于30万元</w:t>
            </w:r>
          </w:p>
        </w:tc>
        <w:tc>
          <w:tcPr>
            <w:tcW w:w="1134" w:type="dxa"/>
            <w:vAlign w:val="center"/>
          </w:tcPr>
          <w:p>
            <w:pPr>
              <w:spacing w:line="400" w:lineRule="exact"/>
              <w:jc w:val="center"/>
              <w:rPr>
                <w:rFonts w:hint="eastAsia" w:ascii="宋体" w:hAnsi="宋体"/>
                <w:szCs w:val="21"/>
              </w:rPr>
            </w:pPr>
            <w:r>
              <w:rPr>
                <w:rFonts w:hint="eastAsia" w:ascii="宋体" w:hAnsi="宋体"/>
                <w:szCs w:val="21"/>
              </w:rPr>
              <w:t>40万元</w:t>
            </w:r>
          </w:p>
        </w:tc>
        <w:tc>
          <w:tcPr>
            <w:tcW w:w="1276" w:type="dxa"/>
            <w:vAlign w:val="center"/>
          </w:tcPr>
          <w:p>
            <w:pPr>
              <w:spacing w:line="400" w:lineRule="exact"/>
              <w:jc w:val="center"/>
              <w:rPr>
                <w:rFonts w:hint="eastAsia" w:ascii="宋体" w:hAnsi="宋体"/>
                <w:szCs w:val="21"/>
              </w:rPr>
            </w:pPr>
            <w:r>
              <w:rPr>
                <w:rFonts w:hint="eastAsia" w:ascii="宋体" w:hAnsi="宋体"/>
                <w:szCs w:val="21"/>
              </w:rPr>
              <w:t>1000元/月（连续发放2年）</w:t>
            </w:r>
          </w:p>
        </w:tc>
        <w:tc>
          <w:tcPr>
            <w:tcW w:w="992" w:type="dxa"/>
            <w:vAlign w:val="center"/>
          </w:tcPr>
          <w:p>
            <w:pPr>
              <w:spacing w:line="400" w:lineRule="exact"/>
              <w:jc w:val="center"/>
              <w:rPr>
                <w:rFonts w:hint="eastAsia" w:ascii="宋体" w:hAnsi="宋体"/>
                <w:szCs w:val="21"/>
              </w:rPr>
            </w:pPr>
            <w:r>
              <w:rPr>
                <w:rFonts w:hint="eastAsia" w:ascii="宋体" w:hAnsi="宋体"/>
                <w:szCs w:val="21"/>
              </w:rPr>
              <w:t>15万元</w:t>
            </w:r>
          </w:p>
        </w:tc>
        <w:tc>
          <w:tcPr>
            <w:tcW w:w="993" w:type="dxa"/>
            <w:vAlign w:val="center"/>
          </w:tcPr>
          <w:p>
            <w:pPr>
              <w:jc w:val="center"/>
            </w:pPr>
            <w:r>
              <w:rPr>
                <w:rFonts w:hint="eastAsia" w:ascii="宋体" w:hAnsi="宋体"/>
                <w:szCs w:val="21"/>
              </w:rPr>
              <w:t>1台</w:t>
            </w:r>
          </w:p>
        </w:tc>
        <w:tc>
          <w:tcPr>
            <w:tcW w:w="992" w:type="dxa"/>
            <w:vAlign w:val="center"/>
          </w:tcPr>
          <w:p>
            <w:pPr>
              <w:spacing w:line="400" w:lineRule="exact"/>
              <w:jc w:val="center"/>
              <w:rPr>
                <w:rFonts w:hint="eastAsia" w:ascii="宋体" w:hAnsi="宋体"/>
                <w:szCs w:val="21"/>
              </w:rP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spacing w:line="400" w:lineRule="exact"/>
              <w:jc w:val="center"/>
              <w:rPr>
                <w:rFonts w:hint="eastAsia" w:ascii="宋体" w:hAnsi="宋体"/>
                <w:szCs w:val="21"/>
              </w:rPr>
            </w:pPr>
            <w:r>
              <w:rPr>
                <w:rFonts w:hint="eastAsia" w:ascii="宋体" w:hAnsi="宋体"/>
                <w:szCs w:val="21"/>
              </w:rPr>
              <w:t>3</w:t>
            </w:r>
          </w:p>
        </w:tc>
        <w:tc>
          <w:tcPr>
            <w:tcW w:w="2658" w:type="dxa"/>
            <w:vAlign w:val="center"/>
          </w:tcPr>
          <w:p>
            <w:pPr>
              <w:spacing w:line="400" w:lineRule="exact"/>
              <w:jc w:val="center"/>
              <w:rPr>
                <w:rFonts w:hint="eastAsia" w:ascii="宋体" w:hAnsi="宋体"/>
                <w:szCs w:val="21"/>
              </w:rPr>
            </w:pPr>
            <w:r>
              <w:rPr>
                <w:rFonts w:hint="eastAsia" w:ascii="宋体" w:hAnsi="宋体"/>
                <w:szCs w:val="21"/>
              </w:rPr>
              <w:t>紧缺重点学科高层次人才——</w:t>
            </w:r>
            <w:r>
              <w:rPr>
                <w:rFonts w:hint="eastAsia" w:ascii="宋体" w:hAnsi="宋体" w:cs="宋体"/>
                <w:szCs w:val="21"/>
              </w:rPr>
              <w:t>优秀博士（</w:t>
            </w:r>
            <w:r>
              <w:rPr>
                <w:rFonts w:hint="eastAsia" w:ascii="宋体" w:hAnsi="宋体" w:cs="宋体"/>
                <w:color w:val="0F0F0F"/>
                <w:szCs w:val="21"/>
              </w:rPr>
              <w:t>近</w:t>
            </w:r>
            <w:r>
              <w:rPr>
                <w:rFonts w:hint="eastAsia" w:ascii="宋体" w:hAnsi="宋体" w:cs="Arial"/>
                <w:color w:val="0F0F0F"/>
                <w:szCs w:val="21"/>
              </w:rPr>
              <w:t>3年来</w:t>
            </w:r>
            <w:r>
              <w:rPr>
                <w:rFonts w:hint="eastAsia" w:ascii="宋体" w:hAnsi="宋体" w:cs="宋体"/>
                <w:color w:val="0F0F0F"/>
                <w:szCs w:val="21"/>
              </w:rPr>
              <w:t>以第一作者身份在</w:t>
            </w:r>
            <w:r>
              <w:rPr>
                <w:rFonts w:ascii="宋体" w:hAnsi="宋体" w:cs="Arial"/>
                <w:color w:val="0F0F0F"/>
                <w:szCs w:val="21"/>
              </w:rPr>
              <w:t>SCI</w:t>
            </w:r>
            <w:r>
              <w:rPr>
                <w:rFonts w:hint="eastAsia" w:ascii="宋体" w:hAnsi="宋体" w:cs="宋体"/>
                <w:color w:val="0F0F0F"/>
                <w:szCs w:val="21"/>
              </w:rPr>
              <w:t>、</w:t>
            </w:r>
            <w:r>
              <w:rPr>
                <w:rFonts w:ascii="宋体" w:hAnsi="宋体" w:cs="Arial"/>
                <w:color w:val="0F0F0F"/>
                <w:szCs w:val="21"/>
              </w:rPr>
              <w:t>SSCI</w:t>
            </w:r>
            <w:r>
              <w:rPr>
                <w:rFonts w:hint="eastAsia" w:ascii="宋体" w:hAnsi="宋体" w:cs="宋体"/>
                <w:color w:val="0F0F0F"/>
                <w:szCs w:val="21"/>
              </w:rPr>
              <w:t>、</w:t>
            </w:r>
            <w:r>
              <w:rPr>
                <w:rFonts w:ascii="宋体" w:hAnsi="宋体" w:cs="Arial"/>
                <w:color w:val="0F0F0F"/>
                <w:szCs w:val="21"/>
              </w:rPr>
              <w:t>EI</w:t>
            </w:r>
            <w:r>
              <w:rPr>
                <w:rFonts w:hint="eastAsia" w:ascii="宋体" w:hAnsi="宋体" w:cs="宋体"/>
                <w:color w:val="0F0F0F"/>
                <w:szCs w:val="21"/>
              </w:rPr>
              <w:t>源期刊上发表学术论文</w:t>
            </w:r>
            <w:r>
              <w:rPr>
                <w:rFonts w:ascii="宋体" w:hAnsi="宋体" w:cs="Arial"/>
                <w:color w:val="0F0F0F"/>
                <w:szCs w:val="21"/>
              </w:rPr>
              <w:t>5</w:t>
            </w:r>
            <w:r>
              <w:rPr>
                <w:rFonts w:hint="eastAsia" w:ascii="宋体" w:hAnsi="宋体" w:cs="宋体"/>
                <w:color w:val="0F0F0F"/>
                <w:szCs w:val="21"/>
              </w:rPr>
              <w:t>篇以上）</w:t>
            </w:r>
          </w:p>
        </w:tc>
        <w:tc>
          <w:tcPr>
            <w:tcW w:w="992" w:type="dxa"/>
            <w:vAlign w:val="center"/>
          </w:tcPr>
          <w:p>
            <w:pPr>
              <w:spacing w:line="400" w:lineRule="exact"/>
              <w:jc w:val="center"/>
              <w:rPr>
                <w:rFonts w:hint="eastAsia" w:ascii="宋体" w:hAnsi="宋体"/>
                <w:szCs w:val="21"/>
              </w:rPr>
            </w:pPr>
            <w:r>
              <w:rPr>
                <w:rFonts w:hint="eastAsia" w:ascii="宋体" w:hAnsi="宋体"/>
                <w:szCs w:val="21"/>
              </w:rPr>
              <w:t>不低于20万元</w:t>
            </w:r>
          </w:p>
        </w:tc>
        <w:tc>
          <w:tcPr>
            <w:tcW w:w="1134" w:type="dxa"/>
            <w:vAlign w:val="center"/>
          </w:tcPr>
          <w:p>
            <w:pPr>
              <w:spacing w:line="400" w:lineRule="exact"/>
              <w:jc w:val="center"/>
              <w:rPr>
                <w:rFonts w:hint="eastAsia" w:ascii="宋体" w:hAnsi="宋体"/>
                <w:szCs w:val="21"/>
              </w:rPr>
            </w:pPr>
            <w:r>
              <w:rPr>
                <w:rFonts w:hint="eastAsia" w:ascii="宋体" w:hAnsi="宋体"/>
                <w:szCs w:val="21"/>
              </w:rPr>
              <w:t>30万元</w:t>
            </w:r>
          </w:p>
        </w:tc>
        <w:tc>
          <w:tcPr>
            <w:tcW w:w="1276" w:type="dxa"/>
            <w:vAlign w:val="center"/>
          </w:tcPr>
          <w:p>
            <w:pPr>
              <w:spacing w:line="400" w:lineRule="exact"/>
              <w:jc w:val="center"/>
              <w:rPr>
                <w:rFonts w:hint="eastAsia" w:ascii="宋体" w:hAnsi="宋体"/>
                <w:szCs w:val="21"/>
              </w:rPr>
            </w:pPr>
            <w:r>
              <w:rPr>
                <w:rFonts w:hint="eastAsia" w:ascii="宋体" w:hAnsi="宋体"/>
                <w:szCs w:val="21"/>
              </w:rPr>
              <w:t>1000元/月（连续发放2年）</w:t>
            </w:r>
          </w:p>
        </w:tc>
        <w:tc>
          <w:tcPr>
            <w:tcW w:w="992" w:type="dxa"/>
            <w:vAlign w:val="center"/>
          </w:tcPr>
          <w:p>
            <w:pPr>
              <w:spacing w:line="400" w:lineRule="exact"/>
              <w:jc w:val="center"/>
              <w:rPr>
                <w:rFonts w:hint="eastAsia" w:ascii="宋体" w:hAnsi="宋体"/>
                <w:szCs w:val="21"/>
              </w:rPr>
            </w:pPr>
            <w:r>
              <w:rPr>
                <w:rFonts w:hint="eastAsia" w:ascii="宋体" w:hAnsi="宋体"/>
                <w:szCs w:val="21"/>
              </w:rPr>
              <w:t>15万元</w:t>
            </w:r>
          </w:p>
        </w:tc>
        <w:tc>
          <w:tcPr>
            <w:tcW w:w="993" w:type="dxa"/>
            <w:vAlign w:val="center"/>
          </w:tcPr>
          <w:p>
            <w:pPr>
              <w:jc w:val="center"/>
            </w:pPr>
            <w:r>
              <w:rPr>
                <w:rFonts w:hint="eastAsia" w:ascii="宋体" w:hAnsi="宋体"/>
                <w:szCs w:val="21"/>
              </w:rPr>
              <w:t>1台</w:t>
            </w:r>
          </w:p>
        </w:tc>
        <w:tc>
          <w:tcPr>
            <w:tcW w:w="992" w:type="dxa"/>
            <w:vAlign w:val="center"/>
          </w:tcPr>
          <w:p>
            <w:pPr>
              <w:spacing w:line="400" w:lineRule="exact"/>
              <w:jc w:val="center"/>
              <w:rPr>
                <w:rFonts w:hint="eastAsia" w:ascii="宋体" w:hAnsi="宋体"/>
                <w:szCs w:val="21"/>
              </w:rP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427" w:type="dxa"/>
            <w:vAlign w:val="center"/>
          </w:tcPr>
          <w:p>
            <w:pPr>
              <w:spacing w:line="300" w:lineRule="exact"/>
              <w:jc w:val="center"/>
              <w:rPr>
                <w:rFonts w:ascii="宋体" w:hAnsi="宋体"/>
                <w:szCs w:val="21"/>
              </w:rPr>
            </w:pPr>
            <w:r>
              <w:rPr>
                <w:rFonts w:hint="eastAsia" w:ascii="宋体" w:hAnsi="宋体"/>
                <w:szCs w:val="21"/>
              </w:rPr>
              <w:t>4</w:t>
            </w:r>
          </w:p>
        </w:tc>
        <w:tc>
          <w:tcPr>
            <w:tcW w:w="2658" w:type="dxa"/>
            <w:vAlign w:val="center"/>
          </w:tcPr>
          <w:p>
            <w:pPr>
              <w:spacing w:line="300" w:lineRule="exact"/>
              <w:jc w:val="center"/>
              <w:rPr>
                <w:rFonts w:ascii="宋体" w:hAnsi="宋体"/>
                <w:szCs w:val="21"/>
              </w:rPr>
            </w:pPr>
            <w:r>
              <w:rPr>
                <w:rFonts w:hint="eastAsia" w:ascii="宋体" w:hAnsi="宋体"/>
                <w:szCs w:val="21"/>
              </w:rPr>
              <w:t>具有博士学位的正高级职称人员</w:t>
            </w:r>
          </w:p>
        </w:tc>
        <w:tc>
          <w:tcPr>
            <w:tcW w:w="992" w:type="dxa"/>
            <w:vAlign w:val="center"/>
          </w:tcPr>
          <w:p>
            <w:pPr>
              <w:spacing w:line="300" w:lineRule="exact"/>
              <w:jc w:val="center"/>
              <w:rPr>
                <w:rFonts w:ascii="宋体" w:hAnsi="宋体"/>
                <w:szCs w:val="21"/>
              </w:rPr>
            </w:pPr>
            <w:r>
              <w:rPr>
                <w:rFonts w:hint="eastAsia" w:ascii="宋体" w:hAnsi="宋体"/>
                <w:szCs w:val="21"/>
              </w:rPr>
              <w:t>22万元</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1000元/月（连续发放2年）</w:t>
            </w:r>
          </w:p>
        </w:tc>
        <w:tc>
          <w:tcPr>
            <w:tcW w:w="992" w:type="dxa"/>
            <w:vAlign w:val="center"/>
          </w:tcPr>
          <w:p>
            <w:pPr>
              <w:spacing w:line="300" w:lineRule="exact"/>
              <w:jc w:val="center"/>
              <w:rPr>
                <w:rFonts w:ascii="宋体" w:hAnsi="宋体"/>
                <w:szCs w:val="21"/>
              </w:rPr>
            </w:pPr>
            <w:r>
              <w:rPr>
                <w:rFonts w:hint="eastAsia" w:ascii="宋体" w:hAnsi="宋体"/>
                <w:szCs w:val="21"/>
              </w:rPr>
              <w:t>理工类5万元；其他学科4万元</w:t>
            </w:r>
          </w:p>
        </w:tc>
        <w:tc>
          <w:tcPr>
            <w:tcW w:w="993" w:type="dxa"/>
            <w:vAlign w:val="center"/>
          </w:tcPr>
          <w:p>
            <w:pPr>
              <w:jc w:val="center"/>
            </w:pPr>
            <w:r>
              <w:rPr>
                <w:rFonts w:hint="eastAsia" w:ascii="宋体" w:hAnsi="宋体"/>
                <w:szCs w:val="21"/>
              </w:rPr>
              <w:t>1台</w:t>
            </w:r>
          </w:p>
        </w:tc>
        <w:tc>
          <w:tcPr>
            <w:tcW w:w="992" w:type="dxa"/>
            <w:vAlign w:val="center"/>
          </w:tcPr>
          <w:p>
            <w:pPr>
              <w:spacing w:line="300" w:lineRule="exact"/>
              <w:jc w:val="center"/>
              <w:rPr>
                <w:rFonts w:ascii="宋体" w:hAnsi="宋体"/>
                <w:szCs w:val="21"/>
              </w:rP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427" w:type="dxa"/>
            <w:vAlign w:val="center"/>
          </w:tcPr>
          <w:p>
            <w:pPr>
              <w:spacing w:line="300" w:lineRule="exact"/>
              <w:jc w:val="center"/>
              <w:rPr>
                <w:rFonts w:ascii="宋体" w:hAnsi="宋体"/>
                <w:szCs w:val="21"/>
              </w:rPr>
            </w:pPr>
            <w:r>
              <w:rPr>
                <w:rFonts w:hint="eastAsia" w:ascii="宋体" w:hAnsi="宋体"/>
                <w:szCs w:val="21"/>
              </w:rPr>
              <w:t>5</w:t>
            </w:r>
          </w:p>
        </w:tc>
        <w:tc>
          <w:tcPr>
            <w:tcW w:w="2658" w:type="dxa"/>
            <w:vAlign w:val="center"/>
          </w:tcPr>
          <w:p>
            <w:pPr>
              <w:spacing w:line="300" w:lineRule="exact"/>
              <w:jc w:val="center"/>
              <w:rPr>
                <w:rFonts w:ascii="宋体" w:hAnsi="宋体"/>
                <w:szCs w:val="21"/>
              </w:rPr>
            </w:pPr>
            <w:r>
              <w:rPr>
                <w:rFonts w:hint="eastAsia" w:ascii="宋体" w:hAnsi="宋体"/>
                <w:szCs w:val="21"/>
              </w:rPr>
              <w:t>正高级职称人员或具有副高级职称的博士</w:t>
            </w:r>
          </w:p>
        </w:tc>
        <w:tc>
          <w:tcPr>
            <w:tcW w:w="992" w:type="dxa"/>
            <w:vAlign w:val="center"/>
          </w:tcPr>
          <w:p>
            <w:pPr>
              <w:spacing w:line="300" w:lineRule="exact"/>
              <w:jc w:val="center"/>
              <w:rPr>
                <w:rFonts w:ascii="宋体" w:hAnsi="宋体"/>
                <w:szCs w:val="21"/>
              </w:rPr>
            </w:pPr>
            <w:r>
              <w:rPr>
                <w:rFonts w:hint="eastAsia" w:ascii="宋体" w:hAnsi="宋体"/>
                <w:szCs w:val="21"/>
              </w:rPr>
              <w:t>18万元</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1000元/月（连续发放2年）</w:t>
            </w:r>
          </w:p>
        </w:tc>
        <w:tc>
          <w:tcPr>
            <w:tcW w:w="992" w:type="dxa"/>
            <w:vAlign w:val="center"/>
          </w:tcPr>
          <w:p>
            <w:pPr>
              <w:spacing w:line="300" w:lineRule="exact"/>
              <w:jc w:val="center"/>
              <w:rPr>
                <w:rFonts w:ascii="宋体" w:hAnsi="宋体"/>
                <w:szCs w:val="21"/>
              </w:rPr>
            </w:pPr>
            <w:r>
              <w:rPr>
                <w:rFonts w:hint="eastAsia" w:ascii="宋体" w:hAnsi="宋体"/>
                <w:szCs w:val="21"/>
              </w:rPr>
              <w:t>理工类5万元；其他学科4万元</w:t>
            </w:r>
          </w:p>
        </w:tc>
        <w:tc>
          <w:tcPr>
            <w:tcW w:w="993" w:type="dxa"/>
            <w:vAlign w:val="center"/>
          </w:tcPr>
          <w:p>
            <w:pPr>
              <w:jc w:val="center"/>
            </w:pPr>
            <w:r>
              <w:rPr>
                <w:rFonts w:hint="eastAsia" w:ascii="宋体" w:hAnsi="宋体"/>
                <w:szCs w:val="21"/>
              </w:rPr>
              <w:t>1台</w:t>
            </w:r>
          </w:p>
        </w:tc>
        <w:tc>
          <w:tcPr>
            <w:tcW w:w="992" w:type="dxa"/>
            <w:vAlign w:val="center"/>
          </w:tcPr>
          <w:p>
            <w:pPr>
              <w:spacing w:line="300" w:lineRule="exact"/>
              <w:jc w:val="center"/>
              <w:rPr>
                <w:rFonts w:ascii="宋体" w:hAnsi="宋体"/>
                <w:szCs w:val="21"/>
              </w:rP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427" w:type="dxa"/>
            <w:vAlign w:val="center"/>
          </w:tcPr>
          <w:p>
            <w:pPr>
              <w:spacing w:line="300" w:lineRule="exact"/>
              <w:jc w:val="center"/>
              <w:rPr>
                <w:rFonts w:ascii="宋体" w:hAnsi="宋体"/>
                <w:szCs w:val="21"/>
              </w:rPr>
            </w:pPr>
            <w:r>
              <w:rPr>
                <w:rFonts w:hint="eastAsia" w:ascii="宋体" w:hAnsi="宋体"/>
                <w:szCs w:val="21"/>
              </w:rPr>
              <w:t>6</w:t>
            </w:r>
          </w:p>
        </w:tc>
        <w:tc>
          <w:tcPr>
            <w:tcW w:w="2658" w:type="dxa"/>
            <w:vAlign w:val="center"/>
          </w:tcPr>
          <w:p>
            <w:pPr>
              <w:spacing w:line="300" w:lineRule="exact"/>
              <w:jc w:val="center"/>
              <w:rPr>
                <w:rFonts w:ascii="宋体" w:hAnsi="宋体"/>
                <w:szCs w:val="21"/>
              </w:rPr>
            </w:pPr>
            <w:r>
              <w:rPr>
                <w:rFonts w:hint="eastAsia" w:ascii="宋体" w:hAnsi="宋体"/>
                <w:szCs w:val="21"/>
              </w:rPr>
              <w:t>优秀博士（</w:t>
            </w:r>
            <w:r>
              <w:rPr>
                <w:rFonts w:hint="eastAsia" w:ascii="宋体" w:hAnsi="宋体" w:cs="Arial"/>
                <w:color w:val="0F0F0F"/>
                <w:szCs w:val="21"/>
              </w:rPr>
              <w:t>近3年来以第一作者在SCI、SSCI、EI源期刊上发表学术论文5篇以上）</w:t>
            </w:r>
          </w:p>
        </w:tc>
        <w:tc>
          <w:tcPr>
            <w:tcW w:w="992" w:type="dxa"/>
            <w:vAlign w:val="center"/>
          </w:tcPr>
          <w:p>
            <w:pPr>
              <w:spacing w:line="300" w:lineRule="exact"/>
              <w:jc w:val="center"/>
              <w:rPr>
                <w:rFonts w:ascii="宋体" w:hAnsi="宋体"/>
                <w:szCs w:val="21"/>
              </w:rPr>
            </w:pPr>
            <w:r>
              <w:rPr>
                <w:rFonts w:hint="eastAsia" w:ascii="宋体" w:hAnsi="宋体"/>
                <w:szCs w:val="21"/>
              </w:rPr>
              <w:t>17万元</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1000元/月（连续发放2年）</w:t>
            </w:r>
          </w:p>
        </w:tc>
        <w:tc>
          <w:tcPr>
            <w:tcW w:w="992" w:type="dxa"/>
            <w:vAlign w:val="center"/>
          </w:tcPr>
          <w:p>
            <w:pPr>
              <w:spacing w:line="300" w:lineRule="exact"/>
              <w:jc w:val="center"/>
              <w:rPr>
                <w:rFonts w:ascii="宋体" w:hAnsi="宋体"/>
                <w:szCs w:val="21"/>
              </w:rPr>
            </w:pPr>
            <w:r>
              <w:rPr>
                <w:rFonts w:hint="eastAsia" w:ascii="宋体" w:hAnsi="宋体"/>
                <w:szCs w:val="21"/>
              </w:rPr>
              <w:t>理工类5万元；其他学科4万元</w:t>
            </w:r>
          </w:p>
        </w:tc>
        <w:tc>
          <w:tcPr>
            <w:tcW w:w="993" w:type="dxa"/>
            <w:vAlign w:val="center"/>
          </w:tcPr>
          <w:p>
            <w:pPr>
              <w:jc w:val="center"/>
            </w:pPr>
            <w:r>
              <w:rPr>
                <w:rFonts w:hint="eastAsia" w:ascii="宋体" w:hAnsi="宋体"/>
                <w:szCs w:val="21"/>
              </w:rPr>
              <w:t>1台</w:t>
            </w:r>
          </w:p>
        </w:tc>
        <w:tc>
          <w:tcPr>
            <w:tcW w:w="992" w:type="dxa"/>
            <w:vAlign w:val="center"/>
          </w:tcPr>
          <w:p>
            <w:pPr>
              <w:jc w:val="cente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427" w:type="dxa"/>
            <w:vAlign w:val="center"/>
          </w:tcPr>
          <w:p>
            <w:pPr>
              <w:spacing w:line="300" w:lineRule="exact"/>
              <w:jc w:val="center"/>
              <w:rPr>
                <w:rFonts w:ascii="宋体" w:hAnsi="宋体"/>
                <w:szCs w:val="21"/>
              </w:rPr>
            </w:pPr>
            <w:r>
              <w:rPr>
                <w:rFonts w:hint="eastAsia" w:ascii="宋体" w:hAnsi="宋体"/>
                <w:szCs w:val="21"/>
              </w:rPr>
              <w:t>7</w:t>
            </w:r>
          </w:p>
        </w:tc>
        <w:tc>
          <w:tcPr>
            <w:tcW w:w="2658" w:type="dxa"/>
            <w:vAlign w:val="center"/>
          </w:tcPr>
          <w:p>
            <w:pPr>
              <w:spacing w:line="300" w:lineRule="exact"/>
              <w:jc w:val="center"/>
              <w:rPr>
                <w:rFonts w:ascii="宋体" w:hAnsi="宋体"/>
                <w:szCs w:val="21"/>
              </w:rPr>
            </w:pPr>
            <w:r>
              <w:rPr>
                <w:rFonts w:hint="eastAsia" w:ascii="宋体" w:hAnsi="宋体" w:cs="Arial"/>
                <w:spacing w:val="20"/>
                <w:szCs w:val="21"/>
              </w:rPr>
              <w:t>博士</w:t>
            </w:r>
          </w:p>
        </w:tc>
        <w:tc>
          <w:tcPr>
            <w:tcW w:w="992" w:type="dxa"/>
            <w:vAlign w:val="center"/>
          </w:tcPr>
          <w:p>
            <w:pPr>
              <w:spacing w:line="300" w:lineRule="exact"/>
              <w:jc w:val="center"/>
              <w:rPr>
                <w:rFonts w:ascii="宋体" w:hAnsi="宋体"/>
                <w:szCs w:val="21"/>
              </w:rPr>
            </w:pPr>
            <w:r>
              <w:rPr>
                <w:rFonts w:hint="eastAsia" w:ascii="宋体" w:hAnsi="宋体"/>
                <w:szCs w:val="21"/>
              </w:rPr>
              <w:t>15万元</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1000元/月（连续发放2年）</w:t>
            </w:r>
          </w:p>
        </w:tc>
        <w:tc>
          <w:tcPr>
            <w:tcW w:w="992" w:type="dxa"/>
            <w:vAlign w:val="center"/>
          </w:tcPr>
          <w:p>
            <w:pPr>
              <w:spacing w:line="300" w:lineRule="exact"/>
              <w:jc w:val="center"/>
              <w:rPr>
                <w:rFonts w:ascii="宋体" w:hAnsi="宋体"/>
                <w:szCs w:val="21"/>
              </w:rPr>
            </w:pPr>
            <w:r>
              <w:rPr>
                <w:rFonts w:hint="eastAsia" w:ascii="宋体" w:hAnsi="宋体"/>
                <w:szCs w:val="21"/>
              </w:rPr>
              <w:t>理工类5万元；其他学科4万元</w:t>
            </w:r>
          </w:p>
        </w:tc>
        <w:tc>
          <w:tcPr>
            <w:tcW w:w="993" w:type="dxa"/>
            <w:vAlign w:val="center"/>
          </w:tcPr>
          <w:p>
            <w:pPr>
              <w:jc w:val="center"/>
            </w:pPr>
            <w:r>
              <w:rPr>
                <w:rFonts w:hint="eastAsia" w:ascii="宋体" w:hAnsi="宋体"/>
                <w:szCs w:val="21"/>
              </w:rPr>
              <w:t>1台</w:t>
            </w:r>
          </w:p>
        </w:tc>
        <w:tc>
          <w:tcPr>
            <w:tcW w:w="992" w:type="dxa"/>
            <w:vAlign w:val="center"/>
          </w:tcPr>
          <w:p>
            <w:pPr>
              <w:jc w:val="center"/>
            </w:pPr>
            <w:r>
              <w:rPr>
                <w:rFonts w:hint="eastAsia" w:ascii="宋体" w:hAnsi="宋体"/>
                <w:szCs w:val="21"/>
              </w:rPr>
              <w:t>可安排配偶工作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427" w:type="dxa"/>
            <w:vAlign w:val="center"/>
          </w:tcPr>
          <w:p>
            <w:pPr>
              <w:spacing w:line="300" w:lineRule="exact"/>
              <w:jc w:val="center"/>
              <w:rPr>
                <w:rFonts w:hint="eastAsia" w:ascii="宋体" w:hAnsi="宋体"/>
                <w:szCs w:val="21"/>
              </w:rPr>
            </w:pPr>
            <w:r>
              <w:rPr>
                <w:rFonts w:hint="eastAsia" w:ascii="宋体" w:hAnsi="宋体"/>
                <w:szCs w:val="21"/>
              </w:rPr>
              <w:t>8</w:t>
            </w:r>
          </w:p>
        </w:tc>
        <w:tc>
          <w:tcPr>
            <w:tcW w:w="2658" w:type="dxa"/>
            <w:vAlign w:val="center"/>
          </w:tcPr>
          <w:p>
            <w:pPr>
              <w:spacing w:line="300" w:lineRule="exact"/>
              <w:jc w:val="center"/>
              <w:rPr>
                <w:rFonts w:hint="eastAsia" w:ascii="宋体" w:hAnsi="宋体" w:cs="Arial"/>
                <w:spacing w:val="20"/>
                <w:szCs w:val="21"/>
              </w:rPr>
            </w:pPr>
            <w:r>
              <w:rPr>
                <w:rFonts w:hint="eastAsia" w:ascii="宋体" w:hAnsi="宋体" w:cs="Arial"/>
                <w:spacing w:val="20"/>
                <w:szCs w:val="21"/>
              </w:rPr>
              <w:t>重点建设学科、紧缺专业副教授</w:t>
            </w:r>
          </w:p>
        </w:tc>
        <w:tc>
          <w:tcPr>
            <w:tcW w:w="992" w:type="dxa"/>
            <w:vAlign w:val="center"/>
          </w:tcPr>
          <w:p>
            <w:pPr>
              <w:spacing w:line="300" w:lineRule="exact"/>
              <w:jc w:val="center"/>
              <w:rPr>
                <w:rFonts w:hint="eastAsia" w:ascii="宋体" w:hAnsi="宋体"/>
                <w:szCs w:val="21"/>
              </w:rPr>
            </w:pPr>
            <w:r>
              <w:rPr>
                <w:rFonts w:hint="eastAsia" w:ascii="宋体" w:hAnsi="宋体"/>
                <w:szCs w:val="21"/>
              </w:rPr>
              <w:t>10万元</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学校提供单身宿舍</w:t>
            </w:r>
          </w:p>
        </w:tc>
        <w:tc>
          <w:tcPr>
            <w:tcW w:w="992" w:type="dxa"/>
            <w:vAlign w:val="center"/>
          </w:tcPr>
          <w:p>
            <w:pPr>
              <w:spacing w:line="300" w:lineRule="exact"/>
              <w:jc w:val="center"/>
              <w:rPr>
                <w:rFonts w:hint="eastAsia" w:ascii="宋体" w:hAnsi="宋体"/>
                <w:szCs w:val="21"/>
              </w:rPr>
            </w:pPr>
            <w:r>
              <w:rPr>
                <w:rFonts w:hint="eastAsia" w:ascii="宋体" w:hAnsi="宋体"/>
                <w:szCs w:val="21"/>
              </w:rPr>
              <w:t>理工类2万元；其他学科1万元</w:t>
            </w:r>
          </w:p>
        </w:tc>
        <w:tc>
          <w:tcPr>
            <w:tcW w:w="993" w:type="dxa"/>
            <w:vAlign w:val="center"/>
          </w:tcPr>
          <w:p>
            <w:pPr>
              <w:jc w:val="center"/>
              <w:rPr>
                <w:rFonts w:hint="eastAsia" w:ascii="宋体" w:hAnsi="宋体"/>
                <w:szCs w:val="21"/>
              </w:rPr>
            </w:pPr>
            <w:r>
              <w:rPr>
                <w:rFonts w:hint="eastAsia" w:ascii="宋体" w:hAnsi="宋体"/>
                <w:szCs w:val="21"/>
              </w:rPr>
              <w:t>无</w:t>
            </w:r>
          </w:p>
        </w:tc>
        <w:tc>
          <w:tcPr>
            <w:tcW w:w="992" w:type="dxa"/>
            <w:vAlign w:val="center"/>
          </w:tcPr>
          <w:p>
            <w:pPr>
              <w:jc w:val="center"/>
              <w:rPr>
                <w:rFonts w:hint="eastAsia"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427" w:type="dxa"/>
            <w:vAlign w:val="center"/>
          </w:tcPr>
          <w:p>
            <w:pPr>
              <w:spacing w:line="300" w:lineRule="exact"/>
              <w:jc w:val="center"/>
              <w:rPr>
                <w:rFonts w:ascii="宋体" w:hAnsi="宋体"/>
                <w:szCs w:val="21"/>
              </w:rPr>
            </w:pPr>
          </w:p>
          <w:p>
            <w:pPr>
              <w:spacing w:line="300" w:lineRule="exact"/>
              <w:jc w:val="center"/>
              <w:rPr>
                <w:rFonts w:ascii="宋体" w:hAnsi="宋体"/>
                <w:szCs w:val="21"/>
              </w:rPr>
            </w:pPr>
            <w:r>
              <w:rPr>
                <w:rFonts w:hint="eastAsia" w:ascii="宋体" w:hAnsi="宋体"/>
                <w:szCs w:val="21"/>
              </w:rPr>
              <w:t>9</w:t>
            </w:r>
          </w:p>
        </w:tc>
        <w:tc>
          <w:tcPr>
            <w:tcW w:w="2658" w:type="dxa"/>
            <w:vAlign w:val="center"/>
          </w:tcPr>
          <w:p>
            <w:pPr>
              <w:spacing w:line="300" w:lineRule="exact"/>
              <w:jc w:val="center"/>
              <w:rPr>
                <w:rFonts w:ascii="宋体" w:hAnsi="宋体"/>
                <w:szCs w:val="21"/>
              </w:rPr>
            </w:pPr>
            <w:r>
              <w:rPr>
                <w:rFonts w:hint="eastAsia" w:ascii="宋体" w:hAnsi="宋体"/>
                <w:szCs w:val="21"/>
              </w:rPr>
              <w:t>重点建设学科、紧缺专业硕士研究生</w:t>
            </w:r>
          </w:p>
        </w:tc>
        <w:tc>
          <w:tcPr>
            <w:tcW w:w="992" w:type="dxa"/>
            <w:vAlign w:val="center"/>
          </w:tcPr>
          <w:p>
            <w:pPr>
              <w:spacing w:line="300" w:lineRule="exact"/>
              <w:jc w:val="center"/>
              <w:rPr>
                <w:rFonts w:ascii="宋体" w:hAnsi="宋体"/>
                <w:szCs w:val="21"/>
              </w:rPr>
            </w:pPr>
            <w:r>
              <w:rPr>
                <w:rFonts w:hint="eastAsia" w:ascii="宋体" w:hAnsi="宋体"/>
                <w:szCs w:val="21"/>
              </w:rPr>
              <w:t>无</w:t>
            </w:r>
          </w:p>
        </w:tc>
        <w:tc>
          <w:tcPr>
            <w:tcW w:w="1134" w:type="dxa"/>
            <w:vAlign w:val="center"/>
          </w:tcPr>
          <w:p>
            <w:pPr>
              <w:spacing w:line="300" w:lineRule="exact"/>
              <w:jc w:val="center"/>
              <w:rPr>
                <w:rFonts w:hint="eastAsia" w:ascii="宋体" w:hAnsi="宋体"/>
                <w:spacing w:val="20"/>
                <w:szCs w:val="21"/>
              </w:rPr>
            </w:pPr>
            <w:r>
              <w:rPr>
                <w:rFonts w:hint="eastAsia" w:ascii="宋体" w:hAnsi="宋体"/>
                <w:spacing w:val="20"/>
                <w:szCs w:val="21"/>
              </w:rPr>
              <w:t>无</w:t>
            </w:r>
          </w:p>
        </w:tc>
        <w:tc>
          <w:tcPr>
            <w:tcW w:w="1276" w:type="dxa"/>
            <w:vAlign w:val="center"/>
          </w:tcPr>
          <w:p>
            <w:pPr>
              <w:spacing w:line="300" w:lineRule="exact"/>
              <w:jc w:val="center"/>
              <w:rPr>
                <w:rFonts w:ascii="宋体" w:hAnsi="宋体"/>
                <w:szCs w:val="21"/>
              </w:rPr>
            </w:pPr>
            <w:r>
              <w:rPr>
                <w:rFonts w:hint="eastAsia" w:ascii="宋体" w:hAnsi="宋体"/>
                <w:szCs w:val="21"/>
              </w:rPr>
              <w:t>学校提供单身宿舍</w:t>
            </w:r>
          </w:p>
        </w:tc>
        <w:tc>
          <w:tcPr>
            <w:tcW w:w="992" w:type="dxa"/>
            <w:vAlign w:val="center"/>
          </w:tcPr>
          <w:p>
            <w:pPr>
              <w:spacing w:line="300" w:lineRule="exact"/>
              <w:jc w:val="center"/>
              <w:rPr>
                <w:rFonts w:ascii="宋体" w:hAnsi="宋体"/>
                <w:szCs w:val="21"/>
              </w:rPr>
            </w:pPr>
            <w:r>
              <w:rPr>
                <w:rFonts w:hint="eastAsia" w:ascii="宋体" w:hAnsi="宋体"/>
                <w:szCs w:val="21"/>
              </w:rPr>
              <w:t>理工类2万元；其他学科1万元</w:t>
            </w:r>
          </w:p>
        </w:tc>
        <w:tc>
          <w:tcPr>
            <w:tcW w:w="993" w:type="dxa"/>
            <w:vAlign w:val="center"/>
          </w:tcPr>
          <w:p>
            <w:pPr>
              <w:spacing w:line="300" w:lineRule="exact"/>
              <w:jc w:val="center"/>
              <w:rPr>
                <w:rFonts w:ascii="宋体" w:hAnsi="宋体"/>
                <w:szCs w:val="21"/>
              </w:rPr>
            </w:pPr>
            <w:r>
              <w:rPr>
                <w:rFonts w:hint="eastAsia" w:ascii="宋体" w:hAnsi="宋体"/>
                <w:szCs w:val="21"/>
              </w:rPr>
              <w:t>无</w:t>
            </w:r>
          </w:p>
        </w:tc>
        <w:tc>
          <w:tcPr>
            <w:tcW w:w="992" w:type="dxa"/>
            <w:vAlign w:val="center"/>
          </w:tcPr>
          <w:p>
            <w:pPr>
              <w:spacing w:line="300" w:lineRule="exact"/>
              <w:jc w:val="center"/>
              <w:rPr>
                <w:rFonts w:ascii="宋体" w:hAnsi="宋体"/>
                <w:szCs w:val="21"/>
              </w:rPr>
            </w:pPr>
            <w:r>
              <w:rPr>
                <w:rFonts w:hint="eastAsia" w:ascii="宋体" w:hAnsi="宋体"/>
                <w:szCs w:val="21"/>
              </w:rPr>
              <w:t>无</w:t>
            </w:r>
          </w:p>
        </w:tc>
      </w:tr>
    </w:tbl>
    <w:p>
      <w:pPr>
        <w:spacing w:line="500" w:lineRule="exact"/>
        <w:jc w:val="left"/>
        <w:rPr>
          <w:rFonts w:hint="eastAsia" w:ascii="仿宋" w:hAnsi="仿宋" w:eastAsia="仿宋"/>
          <w:b/>
          <w:sz w:val="32"/>
          <w:szCs w:val="32"/>
        </w:rPr>
      </w:pPr>
      <w:r>
        <w:rPr>
          <w:rFonts w:hint="eastAsia" w:ascii="仿宋" w:hAnsi="仿宋" w:eastAsia="仿宋"/>
          <w:b/>
          <w:sz w:val="32"/>
          <w:szCs w:val="32"/>
        </w:rPr>
        <w:t>其他待遇和说明：</w:t>
      </w:r>
    </w:p>
    <w:p>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cs="宋体"/>
          <w:sz w:val="28"/>
          <w:szCs w:val="28"/>
        </w:rPr>
        <w:t xml:space="preserve"> 紧缺重点学科为电子与通信工程学科、软件工程学科、艺术设计学科。</w:t>
      </w:r>
    </w:p>
    <w:p>
      <w:pPr>
        <w:ind w:firstLine="560" w:firstLineChars="200"/>
        <w:rPr>
          <w:rFonts w:hint="eastAsia" w:ascii="仿宋" w:hAnsi="仿宋" w:eastAsia="仿宋" w:cs="Arial"/>
          <w:color w:val="0F0F0F"/>
          <w:sz w:val="28"/>
          <w:szCs w:val="28"/>
        </w:rPr>
      </w:pPr>
      <w:r>
        <w:rPr>
          <w:rFonts w:hint="eastAsia" w:ascii="仿宋" w:hAnsi="仿宋" w:eastAsia="仿宋"/>
          <w:sz w:val="28"/>
          <w:szCs w:val="28"/>
        </w:rPr>
        <w:t>2.</w:t>
      </w:r>
      <w:r>
        <w:rPr>
          <w:rFonts w:hint="eastAsia" w:ascii="仿宋" w:hAnsi="仿宋" w:eastAsia="仿宋" w:cs="Arial"/>
          <w:color w:val="0F0F0F"/>
          <w:sz w:val="28"/>
          <w:szCs w:val="28"/>
        </w:rPr>
        <w:t xml:space="preserve"> 引进的副高级及以上职称人员、博士的服务期限为8年，硕士服务期限为5年。</w:t>
      </w:r>
    </w:p>
    <w:p>
      <w:pPr>
        <w:ind w:firstLine="560" w:firstLineChars="200"/>
        <w:rPr>
          <w:rFonts w:hint="eastAsia" w:ascii="仿宋" w:hAnsi="仿宋" w:eastAsia="仿宋" w:cs="宋体"/>
          <w:color w:val="0F0F0F"/>
          <w:sz w:val="28"/>
          <w:szCs w:val="28"/>
        </w:rPr>
      </w:pPr>
      <w:r>
        <w:rPr>
          <w:rFonts w:hint="eastAsia" w:ascii="仿宋" w:hAnsi="仿宋" w:eastAsia="仿宋" w:cs="Arial"/>
          <w:color w:val="0F0F0F"/>
          <w:sz w:val="28"/>
          <w:szCs w:val="28"/>
        </w:rPr>
        <w:t>3.</w:t>
      </w:r>
      <w:r>
        <w:rPr>
          <w:rFonts w:hint="eastAsia" w:ascii="仿宋" w:hAnsi="仿宋" w:eastAsia="仿宋" w:cs="宋体"/>
          <w:color w:val="0F0F0F"/>
          <w:sz w:val="28"/>
          <w:szCs w:val="28"/>
        </w:rPr>
        <w:t xml:space="preserve"> </w:t>
      </w:r>
      <w:r>
        <w:rPr>
          <w:rFonts w:hint="eastAsia" w:ascii="仿宋" w:hAnsi="仿宋" w:eastAsia="仿宋"/>
          <w:sz w:val="28"/>
          <w:szCs w:val="28"/>
        </w:rPr>
        <w:t>紧缺重点学科高层次人才</w:t>
      </w:r>
      <w:r>
        <w:rPr>
          <w:rFonts w:hint="eastAsia" w:ascii="仿宋" w:hAnsi="仿宋" w:eastAsia="仿宋" w:cs="宋体"/>
          <w:color w:val="0F0F0F"/>
          <w:sz w:val="28"/>
          <w:szCs w:val="28"/>
        </w:rPr>
        <w:t>符合《梧州市引进高层次（紧缺）人才实施办法（试行）》（梧办发〔</w:t>
      </w:r>
      <w:r>
        <w:rPr>
          <w:rFonts w:ascii="仿宋" w:hAnsi="仿宋" w:eastAsia="仿宋" w:cs="Arial"/>
          <w:color w:val="0F0F0F"/>
          <w:sz w:val="28"/>
          <w:szCs w:val="28"/>
        </w:rPr>
        <w:t>2013</w:t>
      </w:r>
      <w:r>
        <w:rPr>
          <w:rFonts w:hint="eastAsia" w:ascii="仿宋" w:hAnsi="仿宋" w:eastAsia="仿宋" w:cs="宋体"/>
          <w:color w:val="0F0F0F"/>
          <w:sz w:val="28"/>
          <w:szCs w:val="28"/>
        </w:rPr>
        <w:t>〕</w:t>
      </w:r>
      <w:r>
        <w:rPr>
          <w:rFonts w:ascii="仿宋" w:hAnsi="仿宋" w:eastAsia="仿宋" w:cs="Arial"/>
          <w:color w:val="0F0F0F"/>
          <w:sz w:val="28"/>
          <w:szCs w:val="28"/>
        </w:rPr>
        <w:t xml:space="preserve">22 </w:t>
      </w:r>
      <w:r>
        <w:rPr>
          <w:rFonts w:hint="eastAsia" w:ascii="仿宋" w:hAnsi="仿宋" w:eastAsia="仿宋" w:cs="宋体"/>
          <w:color w:val="0F0F0F"/>
          <w:sz w:val="28"/>
          <w:szCs w:val="28"/>
        </w:rPr>
        <w:t>号）规定条件的引进人才，可申请享受相关待遇。梧州市审批的待遇与学校发放的待遇合并享受。</w:t>
      </w:r>
    </w:p>
    <w:p>
      <w:pPr>
        <w:ind w:firstLine="560" w:firstLineChars="200"/>
        <w:rPr>
          <w:rFonts w:hint="eastAsia" w:ascii="仿宋" w:hAnsi="仿宋" w:eastAsia="仿宋" w:cs="宋体"/>
          <w:color w:val="0F0F0F"/>
          <w:sz w:val="28"/>
          <w:szCs w:val="28"/>
        </w:rPr>
      </w:pPr>
      <w:r>
        <w:rPr>
          <w:rFonts w:hint="eastAsia" w:ascii="仿宋" w:hAnsi="仿宋" w:eastAsia="仿宋" w:cs="宋体"/>
          <w:color w:val="0F0F0F"/>
          <w:sz w:val="28"/>
          <w:szCs w:val="28"/>
        </w:rPr>
        <w:t>4.</w:t>
      </w:r>
      <w:r>
        <w:rPr>
          <w:rFonts w:hint="eastAsia" w:ascii="仿宋" w:hAnsi="仿宋" w:eastAsia="仿宋" w:cs="Arial"/>
          <w:color w:val="0F0F0F"/>
          <w:sz w:val="28"/>
          <w:szCs w:val="28"/>
        </w:rPr>
        <w:t xml:space="preserve"> 取得博士学位但还没有取得副高级专业技术职务者，学校给予享受副高级（七级）专业技术职务校内津补贴待遇3年，3年后未取得副高级专业技术职务的，恢复原职称待遇。</w:t>
      </w:r>
    </w:p>
    <w:p>
      <w:pPr>
        <w:spacing w:line="500" w:lineRule="exact"/>
        <w:ind w:firstLine="560" w:firstLineChars="200"/>
        <w:rPr>
          <w:rFonts w:hint="eastAsia" w:ascii="仿宋" w:hAnsi="仿宋" w:eastAsia="仿宋" w:cs="Arial"/>
          <w:color w:val="333333"/>
          <w:spacing w:val="20"/>
          <w:sz w:val="28"/>
          <w:szCs w:val="28"/>
        </w:rPr>
      </w:pPr>
      <w:r>
        <w:rPr>
          <w:rFonts w:hint="eastAsia" w:ascii="仿宋" w:hAnsi="仿宋" w:eastAsia="仿宋"/>
          <w:sz w:val="28"/>
          <w:szCs w:val="28"/>
        </w:rPr>
        <w:t>5.</w:t>
      </w:r>
      <w:r>
        <w:rPr>
          <w:rFonts w:hint="eastAsia" w:ascii="仿宋" w:hAnsi="仿宋" w:eastAsia="仿宋" w:cs="Arial"/>
          <w:color w:val="333333"/>
          <w:spacing w:val="20"/>
          <w:sz w:val="28"/>
          <w:szCs w:val="28"/>
        </w:rPr>
        <w:t>高层次人才生活补贴：</w:t>
      </w:r>
      <w:r>
        <w:rPr>
          <w:rFonts w:hint="eastAsia" w:ascii="仿宋" w:hAnsi="仿宋" w:eastAsia="仿宋" w:cs="Arial"/>
          <w:bCs/>
          <w:color w:val="333333"/>
          <w:spacing w:val="20"/>
          <w:sz w:val="28"/>
          <w:szCs w:val="28"/>
        </w:rPr>
        <w:t>具体标准按</w:t>
      </w:r>
      <w:r>
        <w:rPr>
          <w:rFonts w:hint="eastAsia" w:ascii="仿宋" w:hAnsi="仿宋" w:eastAsia="仿宋" w:cs="Arial"/>
          <w:color w:val="333333"/>
          <w:spacing w:val="20"/>
          <w:sz w:val="28"/>
          <w:szCs w:val="28"/>
        </w:rPr>
        <w:t>《梧州学院关于职称、职务、学位和荣誉补贴发放暂行办法》按月发放。</w:t>
      </w:r>
      <w:r>
        <w:rPr>
          <w:rFonts w:hint="eastAsia" w:ascii="仿宋" w:hAnsi="仿宋" w:eastAsia="仿宋" w:cs="Arial"/>
          <w:bCs/>
          <w:color w:val="333333"/>
          <w:spacing w:val="20"/>
          <w:sz w:val="28"/>
          <w:szCs w:val="28"/>
        </w:rPr>
        <w:t>即</w:t>
      </w:r>
      <w:r>
        <w:rPr>
          <w:rFonts w:hint="eastAsia" w:ascii="仿宋" w:hAnsi="仿宋" w:eastAsia="仿宋" w:cs="Arial"/>
          <w:color w:val="333333"/>
          <w:spacing w:val="20"/>
          <w:sz w:val="28"/>
          <w:szCs w:val="28"/>
        </w:rPr>
        <w:t xml:space="preserve">：正高1500元、副高800元，博士500元，职称和学历补贴可重叠享受。如学校今后有调整则按调整后的标准执行。 </w:t>
      </w:r>
    </w:p>
    <w:p>
      <w:pPr>
        <w:ind w:firstLine="560" w:firstLineChars="200"/>
        <w:rPr>
          <w:rFonts w:ascii="仿宋" w:hAnsi="仿宋" w:eastAsia="仿宋"/>
          <w:sz w:val="28"/>
          <w:szCs w:val="28"/>
        </w:rPr>
      </w:pPr>
      <w:r>
        <w:rPr>
          <w:rFonts w:hint="eastAsia" w:ascii="仿宋" w:hAnsi="仿宋" w:eastAsia="仿宋" w:cs="宋体"/>
          <w:color w:val="0F0F0F"/>
          <w:sz w:val="28"/>
          <w:szCs w:val="28"/>
        </w:rPr>
        <w:t>6.</w:t>
      </w:r>
      <w:r>
        <w:rPr>
          <w:rFonts w:hint="eastAsia" w:ascii="仿宋" w:hAnsi="仿宋" w:eastAsia="仿宋" w:cs="Arial"/>
          <w:color w:val="0F0F0F"/>
          <w:sz w:val="28"/>
          <w:szCs w:val="28"/>
        </w:rPr>
        <w:t xml:space="preserve"> 凡有意向到我校考察的高层次人才，具有副教授及其他副高级专业技术职务人员予以报销单程车票，办理调入手续并签订引进人才协议后予以一次性报销往返车票；具有教授及其他正高级专业技术职务人员或具有博士学位人员，不论是否与学校签订引进人才协议，学校均予以一次性报销往返车费。</w:t>
      </w:r>
    </w:p>
    <w:p>
      <w:pPr>
        <w:spacing w:line="500" w:lineRule="exact"/>
        <w:ind w:firstLine="640" w:firstLineChars="200"/>
        <w:rPr>
          <w:rFonts w:ascii="仿宋" w:hAnsi="仿宋" w:eastAsia="仿宋" w:cs="Arial"/>
          <w:color w:val="333333"/>
          <w:spacing w:val="20"/>
          <w:sz w:val="28"/>
          <w:szCs w:val="28"/>
        </w:rPr>
      </w:pPr>
    </w:p>
    <w:p>
      <w:pPr>
        <w:rPr>
          <w:sz w:val="27"/>
          <w:szCs w:val="27"/>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2"/>
    <w:rsid w:val="00112453"/>
    <w:rsid w:val="001500A8"/>
    <w:rsid w:val="00170785"/>
    <w:rsid w:val="001A16C6"/>
    <w:rsid w:val="002A38F4"/>
    <w:rsid w:val="002E4059"/>
    <w:rsid w:val="003B104C"/>
    <w:rsid w:val="003C0881"/>
    <w:rsid w:val="0046662D"/>
    <w:rsid w:val="0070189B"/>
    <w:rsid w:val="0075749F"/>
    <w:rsid w:val="007C4330"/>
    <w:rsid w:val="00AE057E"/>
    <w:rsid w:val="00B31C7D"/>
    <w:rsid w:val="00B373F1"/>
    <w:rsid w:val="00B96907"/>
    <w:rsid w:val="00C72A66"/>
    <w:rsid w:val="00C82214"/>
    <w:rsid w:val="00D26DA8"/>
    <w:rsid w:val="00D63F1F"/>
    <w:rsid w:val="00DE0413"/>
    <w:rsid w:val="00FB1A12"/>
    <w:rsid w:val="3E9D510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99"/>
  </w:style>
  <w:style w:type="character" w:styleId="6">
    <w:name w:val="Hyperlink"/>
    <w:basedOn w:val="4"/>
    <w:unhideWhenUsed/>
    <w:uiPriority w:val="99"/>
    <w:rPr>
      <w:color w:val="0000FF" w:themeColor="hyperlink"/>
      <w:u w:val="single"/>
      <w14:textFill>
        <w14:solidFill>
          <w14:schemeClr w14:val="hlink"/>
        </w14:solidFill>
      </w14:textFill>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729</Words>
  <Characters>4161</Characters>
  <Lines>34</Lines>
  <Paragraphs>9</Paragraphs>
  <TotalTime>0</TotalTime>
  <ScaleCrop>false</ScaleCrop>
  <LinksUpToDate>false</LinksUpToDate>
  <CharactersWithSpaces>4881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2016-03-17T01:24:00Z</dcterms:created>
  <dc:creator>USER-</dc:creator>
  <cp:lastModifiedBy>bingbing</cp:lastModifiedBy>
  <dcterms:modified xsi:type="dcterms:W3CDTF">2016-12-02T07:40:48Z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