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rPr>
          <w:rFonts w:hint="eastAsia" w:ascii="黑体" w:hAnsi="黑体" w:eastAsia="黑体" w:cs="黑体"/>
          <w:kern w:val="0"/>
          <w:sz w:val="28"/>
          <w:szCs w:val="28"/>
        </w:rPr>
      </w:pPr>
      <w:r>
        <w:rPr>
          <w:rFonts w:hint="eastAsia" w:ascii="黑体" w:hAnsi="黑体" w:eastAsia="黑体" w:cs="黑体"/>
          <w:kern w:val="0"/>
          <w:sz w:val="28"/>
          <w:szCs w:val="28"/>
        </w:rPr>
        <w:t>石河子大学医学院2017年招聘公告</w:t>
      </w:r>
    </w:p>
    <w:p>
      <w:pPr>
        <w:widowControl/>
        <w:shd w:val="clear" w:color="auto" w:fill="FFFFFF"/>
        <w:spacing w:before="100" w:beforeAutospacing="1" w:after="100" w:afterAutospacing="1"/>
        <w:jc w:val="left"/>
        <w:rPr>
          <w:rFonts w:hint="eastAsia" w:ascii="黑体" w:hAnsi="黑体" w:eastAsia="黑体" w:cs="黑体"/>
          <w:kern w:val="0"/>
          <w:sz w:val="28"/>
          <w:szCs w:val="28"/>
        </w:rPr>
      </w:pPr>
      <w:r>
        <w:rPr>
          <w:rFonts w:hint="eastAsia" w:ascii="黑体" w:hAnsi="黑体" w:eastAsia="黑体" w:cs="黑体"/>
          <w:kern w:val="0"/>
          <w:sz w:val="28"/>
          <w:szCs w:val="28"/>
        </w:rPr>
        <w:t>一、单位简介</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石河子大学医学院前身是成立于1949年的中国人民解放军第一兵团卫生学校,经过67年的发展，借助北京大学、华中科技大学等对口支援高校的援建，已成为 “211工程”重点建设大学和国家西部重点建设大学具有明显区域特色优势的医学院校。学院始终坚持“立足兵团、服务新疆、面向全国、辐射中亚”的办学定位，把培养适应区域经济社会发展需要的高素质应用型医学人才作为根本任务，先后为国家培养各级各类医药卫生技术人才2万余名。</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学院目前设有临床医学系、基础医学系、护理系等8个系，开设临床医学、护理学、预防医学、口腔医学、医学影像学、医学检验技术6个本科专业。学院拥有4所附属医院（直属医院1所，非直属医院3所），1所临床学院，22所教学、实习医院。共有专兼职教师654人，其中硕士以上学历教师占83.8% ，博士生导师17人，硕士生导师316人。学院教师中，享受政府特殊津贴专家34人，“全国优秀科技工作者”及“十佳全国优秀科技工作者提名奖”1人，国家人事部、农业部、卫生部评为有突出贡献的中青年专家11人，入选国家“国家百千万人才工程”1人，“青年千人计划”新疆项目4人，绿洲学者4人。学院现有各级各类学生7193人，其中本科学生3253人，研究生842人，留学生317人。</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学院有5个“中西部高校综合实力提升工程”学科建设项目，5个省级重点学科。拥有1个疾病模型实验动物学博士点，基础医学、临床医学、护理学3个一级学科34个二级学科硕士学位点。同时，以新疆地方与民族高发病教育部重点实验室平台建设为契机，围绕感染与人畜共患病、心血管疾病与神经修复、肿瘤与代谢性疾病研究三大研究方向，成功获批国际科技合作基地、5个省级研究中心，与北京大学心血研究所联合挂牌成立心血管研究基地。</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多年来，在各级领导的关心下，学院发展取得了令人瞩目的成绩，学科建设水平日益提高，教学科研条件明显改善，社会声誉影响显著提升。今后，石河子大学医学院将抢抓国家“一带一路”战略和第二次新疆工作座谈会等机遇，充分依托综合性大学优势，全面提升人才培养、科学研究、社会服务、文化传承与创新的整体水平。</w:t>
      </w:r>
    </w:p>
    <w:p>
      <w:pPr>
        <w:widowControl/>
        <w:shd w:val="clear" w:color="auto" w:fill="FFFFFF"/>
        <w:spacing w:line="500" w:lineRule="exact"/>
        <w:ind w:firstLine="560" w:firstLineChars="200"/>
        <w:jc w:val="left"/>
        <w:rPr>
          <w:rFonts w:ascii="宋体" w:hAnsi="宋体" w:eastAsia="宋体" w:cs="宋体"/>
          <w:kern w:val="0"/>
          <w:sz w:val="17"/>
          <w:szCs w:val="17"/>
        </w:rPr>
      </w:pPr>
      <w:r>
        <w:rPr>
          <w:rFonts w:hint="eastAsia" w:ascii="黑体" w:hAnsi="黑体" w:eastAsia="黑体" w:cs="黑体"/>
          <w:kern w:val="0"/>
          <w:sz w:val="28"/>
          <w:szCs w:val="28"/>
        </w:rPr>
        <w:t>二、招聘岗位</w:t>
      </w:r>
    </w:p>
    <w:tbl>
      <w:tblPr>
        <w:tblStyle w:val="5"/>
        <w:tblW w:w="6684" w:type="dxa"/>
        <w:tblInd w:w="96"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
      <w:tblGrid>
        <w:gridCol w:w="731"/>
        <w:gridCol w:w="721"/>
        <w:gridCol w:w="497"/>
        <w:gridCol w:w="1392"/>
        <w:gridCol w:w="1951"/>
        <w:gridCol w:w="139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1"/>
              </w:rPr>
              <w:t>岗位</w:t>
            </w:r>
          </w:p>
        </w:tc>
        <w:tc>
          <w:tcPr>
            <w:tcW w:w="721" w:type="dxa"/>
            <w:tcBorders>
              <w:top w:val="single" w:color="auto" w:sz="4" w:space="0"/>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1"/>
              </w:rPr>
              <w:t>学历</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1"/>
              </w:rPr>
              <w:t>人数</w:t>
            </w:r>
          </w:p>
        </w:tc>
        <w:tc>
          <w:tcPr>
            <w:tcW w:w="1392" w:type="dxa"/>
            <w:tcBorders>
              <w:top w:val="single" w:color="auto" w:sz="4" w:space="0"/>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1"/>
              </w:rPr>
              <w:t>需求专业或专业方向</w:t>
            </w:r>
          </w:p>
        </w:tc>
        <w:tc>
          <w:tcPr>
            <w:tcW w:w="1951" w:type="dxa"/>
            <w:tcBorders>
              <w:top w:val="single" w:color="auto" w:sz="4" w:space="0"/>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1"/>
              </w:rPr>
              <w:t>备注</w:t>
            </w:r>
          </w:p>
        </w:tc>
        <w:tc>
          <w:tcPr>
            <w:tcW w:w="1392" w:type="dxa"/>
            <w:tcBorders>
              <w:top w:val="single" w:color="auto" w:sz="4" w:space="0"/>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1"/>
              </w:rPr>
              <w:t>学院联系方式</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博士</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2</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医学</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 xml:space="preserve"> </w:t>
            </w:r>
          </w:p>
        </w:tc>
        <w:tc>
          <w:tcPr>
            <w:tcW w:w="139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王主任 0993-2057367, 杜老师 0993-2058809，邮箱：shzu2057367@shzu.edu.cn</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博士</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病原生物学、医学免疫学</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 xml:space="preserve"> </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博士</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生物化学</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 xml:space="preserve"> </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2</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医学</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 xml:space="preserve"> </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1"/>
              </w:rPr>
              <w:t>临床医学、病理学与病理生理学</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1"/>
              </w:rPr>
              <w:t>985或211高校毕业，具有医学背景，能考取执业医师资格，男性优先</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护理学</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具有临床工作经验优先</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流行病及卫生统计学</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985或211高校毕业</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卫生学（包括环境卫生和营养卫生）</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985或211高校毕业</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教师</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3</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临床医学、基础医学</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4"/>
                <w:szCs w:val="14"/>
              </w:rPr>
            </w:pP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实验</w:t>
            </w:r>
          </w:p>
        </w:tc>
        <w:tc>
          <w:tcPr>
            <w:tcW w:w="721"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spacing w:line="216" w:lineRule="atLeast"/>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 xml:space="preserve">医学相关专业 </w:t>
            </w:r>
          </w:p>
        </w:tc>
        <w:tc>
          <w:tcPr>
            <w:tcW w:w="1951" w:type="dxa"/>
            <w:tcBorders>
              <w:top w:val="nil"/>
              <w:left w:val="nil"/>
              <w:bottom w:val="single" w:color="auto" w:sz="4" w:space="0"/>
              <w:right w:val="single" w:color="auto" w:sz="4" w:space="0"/>
            </w:tcBorders>
            <w:shd w:val="clear" w:color="auto" w:fill="auto"/>
            <w:vAlign w:val="center"/>
          </w:tcPr>
          <w:p>
            <w:pPr>
              <w:widowControl/>
              <w:spacing w:line="216" w:lineRule="atLeast"/>
              <w:jc w:val="left"/>
              <w:rPr>
                <w:rFonts w:ascii="宋体" w:hAnsi="宋体" w:eastAsia="宋体" w:cs="宋体"/>
                <w:kern w:val="0"/>
                <w:sz w:val="24"/>
                <w:szCs w:val="24"/>
              </w:rPr>
            </w:pPr>
            <w:r>
              <w:rPr>
                <w:rFonts w:hint="eastAsia" w:ascii="宋体" w:hAnsi="宋体" w:eastAsia="宋体" w:cs="宋体"/>
                <w:color w:val="000000"/>
                <w:kern w:val="0"/>
                <w:sz w:val="24"/>
                <w:szCs w:val="21"/>
              </w:rPr>
              <w:t xml:space="preserve"> </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1"/>
              </w:rPr>
              <w:t>实验</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1"/>
              </w:rPr>
              <w:t>硕士及以上</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1"/>
              </w:rPr>
              <w:t>1</w:t>
            </w:r>
          </w:p>
        </w:tc>
        <w:tc>
          <w:tcPr>
            <w:tcW w:w="13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1"/>
              </w:rPr>
              <w:t>计算机专业</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1"/>
              </w:rPr>
              <w:t>精通网络、计算机维护等技能</w:t>
            </w:r>
          </w:p>
        </w:tc>
        <w:tc>
          <w:tcPr>
            <w:tcW w:w="13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bl>
    <w:p>
      <w:pPr>
        <w:widowControl/>
        <w:shd w:val="clear" w:color="auto" w:fill="FFFFFF"/>
        <w:spacing w:line="500" w:lineRule="exact"/>
        <w:ind w:firstLine="560" w:firstLineChars="200"/>
        <w:jc w:val="left"/>
        <w:rPr>
          <w:rFonts w:ascii="宋体" w:hAnsi="宋体" w:eastAsia="宋体" w:cs="宋体"/>
          <w:kern w:val="0"/>
          <w:sz w:val="17"/>
          <w:szCs w:val="17"/>
        </w:rPr>
      </w:pPr>
      <w:r>
        <w:rPr>
          <w:rFonts w:hint="eastAsia" w:ascii="黑体" w:hAnsi="黑体" w:eastAsia="黑体" w:cs="黑体"/>
          <w:kern w:val="0"/>
          <w:sz w:val="28"/>
          <w:szCs w:val="28"/>
        </w:rPr>
        <w:t>三、招聘范围</w:t>
      </w:r>
    </w:p>
    <w:p>
      <w:pPr>
        <w:widowControl/>
        <w:shd w:val="clear" w:color="auto" w:fill="FFFFFF"/>
        <w:spacing w:line="500" w:lineRule="exact"/>
        <w:ind w:firstLine="560" w:firstLineChars="200"/>
        <w:jc w:val="left"/>
        <w:rPr>
          <w:rFonts w:ascii="宋体" w:hAnsi="宋体" w:eastAsia="宋体" w:cs="宋体"/>
          <w:kern w:val="0"/>
          <w:sz w:val="17"/>
          <w:szCs w:val="17"/>
        </w:rPr>
      </w:pPr>
      <w:r>
        <w:rPr>
          <w:rFonts w:hint="eastAsia" w:ascii="仿宋_GB2312" w:hAnsi="Calibri" w:eastAsia="仿宋_GB2312" w:cs="仿宋_GB2312"/>
          <w:kern w:val="0"/>
          <w:sz w:val="28"/>
          <w:szCs w:val="28"/>
        </w:rPr>
        <w:t>面向国内外公开招聘。</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黑体" w:hAnsi="黑体" w:eastAsia="黑体" w:cs="黑体"/>
          <w:kern w:val="0"/>
          <w:sz w:val="28"/>
          <w:szCs w:val="28"/>
        </w:rPr>
        <w:t>四、待遇</w:t>
      </w:r>
    </w:p>
    <w:p>
      <w:pPr>
        <w:widowControl/>
        <w:shd w:val="clear" w:color="auto" w:fill="FFFFFF"/>
        <w:spacing w:line="500" w:lineRule="exact"/>
        <w:ind w:firstLine="562" w:firstLineChars="200"/>
        <w:jc w:val="left"/>
        <w:rPr>
          <w:rFonts w:ascii="宋体" w:hAnsi="宋体" w:eastAsia="宋体" w:cs="宋体"/>
          <w:kern w:val="0"/>
          <w:sz w:val="24"/>
          <w:szCs w:val="24"/>
        </w:rPr>
      </w:pPr>
      <w:r>
        <w:rPr>
          <w:rFonts w:hint="eastAsia" w:ascii="楷体" w:hAnsi="楷体" w:eastAsia="楷体" w:cs="楷体"/>
          <w:b/>
          <w:bCs/>
          <w:kern w:val="0"/>
          <w:sz w:val="28"/>
          <w:szCs w:val="28"/>
        </w:rPr>
        <w:t>（一）引进博士优惠政策</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1.发放引进补贴30万元（含税，</w:t>
      </w:r>
      <w:r>
        <w:rPr>
          <w:rFonts w:hint="eastAsia" w:ascii="宋体" w:hAnsi="宋体" w:eastAsia="宋体" w:cs="Times New Roman"/>
          <w:sz w:val="28"/>
          <w:szCs w:val="28"/>
        </w:rPr>
        <w:t>聘期8年逐年发放</w:t>
      </w:r>
      <w:r>
        <w:rPr>
          <w:rFonts w:hint="eastAsia" w:ascii="仿宋_GB2312" w:hAnsi="宋体" w:eastAsia="仿宋_GB2312" w:cs="仿宋_GB2312"/>
          <w:kern w:val="0"/>
          <w:sz w:val="28"/>
          <w:szCs w:val="28"/>
        </w:rPr>
        <w:t>）；</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2.到校工作后提供共租房一套；</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3.根据学科发展和本人科研需要，提供30万元科研项目所需的仪器设备。</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4.凡经过资格审核后来校面试者，均给与往返交通及住宿费用的报销。</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说明：引进博士须具备毕业证和学位证，年龄一般不超过35岁。试行聘任制管理，一个聘期为8年。博士自进校之日起，享受2年副高职称待遇，工作半年以上认定中级职称，半年后不受资历限制申报副高级职称评审，2年后未通过者按中级职称兑现工资待遇。</w:t>
      </w:r>
    </w:p>
    <w:p>
      <w:pPr>
        <w:widowControl/>
        <w:shd w:val="clear" w:color="auto" w:fill="FFFFFF"/>
        <w:spacing w:line="500" w:lineRule="exact"/>
        <w:ind w:firstLine="562" w:firstLineChars="200"/>
        <w:jc w:val="left"/>
        <w:rPr>
          <w:rFonts w:ascii="宋体" w:hAnsi="宋体" w:eastAsia="宋体" w:cs="宋体"/>
          <w:kern w:val="0"/>
          <w:sz w:val="24"/>
          <w:szCs w:val="24"/>
        </w:rPr>
      </w:pPr>
      <w:r>
        <w:rPr>
          <w:rFonts w:hint="eastAsia" w:ascii="楷体" w:hAnsi="楷体" w:eastAsia="楷体" w:cs="楷体"/>
          <w:b/>
          <w:bCs/>
          <w:kern w:val="0"/>
          <w:sz w:val="28"/>
          <w:szCs w:val="28"/>
        </w:rPr>
        <w:t>（二）引进硕士优惠政策</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引进硕士须具备毕业证和学位证，年龄一般不超过32岁。自进校之日起，享受2年中级职称待遇，工作半年以上认定初级职称，半年后不受资历限制申报中级职称评审，2年后未通过者按初级职称兑现工资待遇。</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黑体" w:hAnsi="黑体" w:eastAsia="黑体" w:cs="黑体"/>
          <w:kern w:val="0"/>
          <w:sz w:val="28"/>
          <w:szCs w:val="28"/>
        </w:rPr>
        <w:t>五、联系方式</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highlight w:val="yellow"/>
        </w:rPr>
        <w:t>联 系 人：王老师 联系电话：0993-2057367、13399938566</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highlight w:val="yellow"/>
        </w:rPr>
        <w:t>联 系 人：杜老师 联系电话：0993-2058809</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仿宋_GB2312"/>
          <w:kern w:val="0"/>
          <w:sz w:val="28"/>
          <w:szCs w:val="28"/>
        </w:rPr>
        <w:t>地址：新疆石河子市北二路石河子大学医学院师资科研办公室</w:t>
      </w:r>
    </w:p>
    <w:p>
      <w:pPr>
        <w:widowControl/>
        <w:shd w:val="clear" w:color="auto" w:fill="FFFFFF"/>
        <w:spacing w:line="500" w:lineRule="exact"/>
        <w:ind w:firstLine="560" w:firstLineChars="200"/>
        <w:jc w:val="left"/>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E-mail：</w:t>
      </w:r>
      <w:bookmarkStart w:id="0" w:name="_GoBack"/>
      <w:r>
        <w:rPr>
          <w:rFonts w:hint="eastAsia" w:ascii="仿宋_GB2312" w:hAnsi="宋体" w:eastAsia="仿宋_GB2312" w:cs="仿宋_GB2312"/>
          <w:kern w:val="0"/>
          <w:sz w:val="28"/>
          <w:szCs w:val="28"/>
        </w:rPr>
        <w:fldChar w:fldCharType="begin"/>
      </w:r>
      <w:r>
        <w:rPr>
          <w:rFonts w:hint="eastAsia" w:ascii="仿宋_GB2312" w:hAnsi="宋体" w:eastAsia="仿宋_GB2312" w:cs="仿宋_GB2312"/>
          <w:kern w:val="0"/>
          <w:sz w:val="28"/>
          <w:szCs w:val="28"/>
        </w:rPr>
        <w:instrText xml:space="preserve"> HYPERLINK "mailto:shzu2057367@shzu.edu.cn" </w:instrText>
      </w:r>
      <w:r>
        <w:rPr>
          <w:rFonts w:hint="eastAsia" w:ascii="仿宋_GB2312" w:hAnsi="宋体" w:eastAsia="仿宋_GB2312" w:cs="仿宋_GB2312"/>
          <w:kern w:val="0"/>
          <w:sz w:val="28"/>
          <w:szCs w:val="28"/>
        </w:rPr>
        <w:fldChar w:fldCharType="separate"/>
      </w:r>
      <w:r>
        <w:rPr>
          <w:rFonts w:hint="eastAsia" w:ascii="仿宋_GB2312" w:hAnsi="宋体" w:eastAsia="仿宋_GB2312" w:cs="仿宋_GB2312"/>
          <w:kern w:val="0"/>
          <w:sz w:val="28"/>
          <w:szCs w:val="28"/>
        </w:rPr>
        <w:t>shzu2057367@shzu.edu.cn</w:t>
      </w:r>
      <w:r>
        <w:rPr>
          <w:rFonts w:hint="eastAsia" w:ascii="仿宋_GB2312" w:hAnsi="宋体" w:eastAsia="仿宋_GB2312" w:cs="仿宋_GB2312"/>
          <w:kern w:val="0"/>
          <w:sz w:val="28"/>
          <w:szCs w:val="28"/>
        </w:rPr>
        <w:fldChar w:fldCharType="end"/>
      </w:r>
      <w:bookmarkEnd w:id="0"/>
      <w:r>
        <w:rPr>
          <w:rFonts w:hint="eastAsia" w:ascii="仿宋_GB2312" w:hAnsi="宋体" w:eastAsia="仿宋_GB2312" w:cs="仿宋_GB2312"/>
          <w:kern w:val="0"/>
          <w:sz w:val="28"/>
          <w:szCs w:val="28"/>
          <w:lang w:val="en-US" w:eastAsia="zh-CN"/>
        </w:rPr>
        <w:fldChar w:fldCharType="begin"/>
      </w:r>
      <w:r>
        <w:rPr>
          <w:rFonts w:hint="eastAsia" w:ascii="仿宋_GB2312" w:hAnsi="宋体" w:eastAsia="仿宋_GB2312" w:cs="仿宋_GB2312"/>
          <w:kern w:val="0"/>
          <w:sz w:val="28"/>
          <w:szCs w:val="28"/>
          <w:lang w:val="en-US" w:eastAsia="zh-CN"/>
        </w:rPr>
        <w:instrText xml:space="preserve"> HYPERLINK "mailto:抄送shzdxyxzp@126.com" </w:instrText>
      </w:r>
      <w:r>
        <w:rPr>
          <w:rFonts w:hint="eastAsia" w:ascii="仿宋_GB2312" w:hAnsi="宋体" w:eastAsia="仿宋_GB2312" w:cs="仿宋_GB2312"/>
          <w:kern w:val="0"/>
          <w:sz w:val="28"/>
          <w:szCs w:val="28"/>
          <w:lang w:val="en-US" w:eastAsia="zh-CN"/>
        </w:rPr>
        <w:fldChar w:fldCharType="separate"/>
      </w:r>
      <w:r>
        <w:rPr>
          <w:rFonts w:hint="eastAsia" w:ascii="仿宋_GB2312" w:hAnsi="宋体" w:eastAsia="仿宋_GB2312" w:cs="仿宋_GB2312"/>
          <w:kern w:val="0"/>
          <w:sz w:val="28"/>
          <w:szCs w:val="28"/>
          <w:lang w:val="en-US" w:eastAsia="zh-CN"/>
        </w:rPr>
        <w:t>抄送</w:t>
      </w:r>
      <w:r>
        <w:rPr>
          <w:rFonts w:hint="eastAsia" w:ascii="仿宋_GB2312" w:hAnsi="宋体" w:eastAsia="仿宋_GB2312" w:cs="仿宋_GB2312"/>
          <w:kern w:val="0"/>
          <w:sz w:val="28"/>
          <w:szCs w:val="28"/>
        </w:rPr>
        <w:t>shzdxyxzp@126.com</w:t>
      </w:r>
      <w:r>
        <w:rPr>
          <w:rFonts w:hint="eastAsia" w:ascii="仿宋_GB2312" w:hAnsi="宋体" w:eastAsia="仿宋_GB2312" w:cs="仿宋_GB2312"/>
          <w:kern w:val="0"/>
          <w:sz w:val="28"/>
          <w:szCs w:val="28"/>
          <w:lang w:val="en-US" w:eastAsia="zh-CN"/>
        </w:rPr>
        <w:fldChar w:fldCharType="end"/>
      </w:r>
      <w:r>
        <w:rPr>
          <w:rFonts w:hint="eastAsia" w:ascii="仿宋_GB2312" w:hAnsi="宋体" w:eastAsia="仿宋_GB2312" w:cs="仿宋_GB2312"/>
          <w:kern w:val="0"/>
          <w:sz w:val="28"/>
          <w:szCs w:val="28"/>
          <w:lang w:val="en-US" w:eastAsia="zh-CN"/>
        </w:rPr>
        <w:t xml:space="preserve"> （邮件标题：高层次人才网+姓名+专业+学历+毕业院校）</w:t>
      </w:r>
    </w:p>
    <w:p>
      <w:pPr>
        <w:widowControl/>
        <w:shd w:val="clear" w:color="auto" w:fill="FFFFFF"/>
        <w:spacing w:line="500" w:lineRule="exact"/>
        <w:jc w:val="left"/>
        <w:rPr>
          <w:rFonts w:ascii="宋体" w:hAnsi="宋体" w:eastAsia="宋体" w:cs="宋体"/>
          <w:kern w:val="0"/>
          <w:sz w:val="24"/>
          <w:szCs w:val="24"/>
        </w:rPr>
      </w:pPr>
      <w:r>
        <w:rPr>
          <w:rFonts w:hint="eastAsia" w:ascii="仿宋_GB2312" w:hAnsi="宋体" w:eastAsia="仿宋_GB2312" w:cs="仿宋_GB2312"/>
          <w:kern w:val="0"/>
          <w:sz w:val="28"/>
          <w:szCs w:val="28"/>
        </w:rPr>
        <w:t>学院网址:</w:t>
      </w:r>
      <w:r>
        <w:fldChar w:fldCharType="begin"/>
      </w:r>
      <w:r>
        <w:instrText xml:space="preserve"> HYPERLINK "http://yxy.shzu.edu.cn/wwwroot/szkyb/zpxx/index.shtml" </w:instrText>
      </w:r>
      <w:r>
        <w:fldChar w:fldCharType="separate"/>
      </w:r>
      <w:r>
        <w:rPr>
          <w:rFonts w:hint="eastAsia" w:ascii="仿宋_GB2312" w:hAnsi="宋体" w:eastAsia="仿宋_GB2312" w:cs="仿宋_GB2312"/>
          <w:color w:val="0000FF"/>
          <w:kern w:val="0"/>
          <w:sz w:val="28"/>
        </w:rPr>
        <w:t>http://yxy.shzu.edu.cn/wwwroot/szkyb/zpxx/index.shtml</w:t>
      </w:r>
      <w:r>
        <w:rPr>
          <w:rFonts w:hint="eastAsia" w:ascii="仿宋_GB2312" w:hAnsi="宋体" w:eastAsia="仿宋_GB2312" w:cs="仿宋_GB2312"/>
          <w:color w:val="0000FF"/>
          <w:kern w:val="0"/>
          <w:sz w:val="28"/>
        </w:rPr>
        <w:fldChar w:fldCharType="end"/>
      </w:r>
    </w:p>
    <w:p>
      <w:pPr>
        <w:widowControl/>
        <w:shd w:val="clear" w:color="auto" w:fill="FFFFFF"/>
        <w:spacing w:before="100" w:beforeAutospacing="1" w:after="100" w:afterAutospacing="1"/>
        <w:jc w:val="left"/>
        <w:rPr>
          <w:rFonts w:ascii="宋体" w:hAnsi="宋体" w:eastAsia="宋体" w:cs="宋体"/>
          <w:kern w:val="0"/>
          <w:sz w:val="17"/>
          <w:szCs w:val="17"/>
        </w:rPr>
      </w:pPr>
      <w:r>
        <w:rPr>
          <w:rFonts w:hint="eastAsia" w:ascii="Arial" w:hAnsi="Arial" w:cs="Arial"/>
          <w:kern w:val="0"/>
          <w:sz w:val="24"/>
          <w:szCs w:val="24"/>
        </w:rPr>
        <w:t>简历包括各学历阶段的毕业证、学位证、成绩单、身份证等，在读期间的主要成绩（如论文、科研等）。</w:t>
      </w:r>
      <w:r>
        <w:rPr>
          <w:rFonts w:ascii="Arial" w:hAnsi="Arial" w:eastAsia="仿宋_GB2312" w:cs="Arial"/>
          <w:color w:val="333333"/>
          <w:kern w:val="0"/>
          <w:sz w:val="24"/>
          <w:szCs w:val="24"/>
        </w:rPr>
        <w:br w:type="textWrapping"/>
      </w:r>
    </w:p>
    <w:p>
      <w:pPr>
        <w:widowControl/>
        <w:shd w:val="clear" w:color="auto" w:fill="FFFFFF"/>
        <w:spacing w:before="100" w:beforeAutospacing="1" w:after="100" w:afterAutospacing="1"/>
        <w:jc w:val="left"/>
        <w:rPr>
          <w:rFonts w:ascii="宋体" w:hAnsi="宋体" w:eastAsia="宋体" w:cs="宋体"/>
          <w:kern w:val="0"/>
          <w:sz w:val="17"/>
          <w:szCs w:val="17"/>
        </w:rPr>
      </w:pPr>
      <w:r>
        <w:rPr>
          <w:rFonts w:hint="eastAsia" w:ascii="仿宋_GB2312" w:hAnsi="宋体" w:eastAsia="仿宋_GB2312" w:cs="Times New Roman"/>
          <w:kern w:val="0"/>
          <w:sz w:val="28"/>
          <w:szCs w:val="28"/>
        </w:rPr>
        <w:t>石河子大学医学院</w:t>
      </w:r>
    </w:p>
    <w:p>
      <w:pPr>
        <w:widowControl/>
        <w:shd w:val="clear" w:color="auto" w:fill="FFFFFF"/>
        <w:spacing w:line="500" w:lineRule="exact"/>
        <w:ind w:firstLine="560" w:firstLineChars="200"/>
        <w:jc w:val="left"/>
        <w:rPr>
          <w:rFonts w:ascii="宋体" w:hAnsi="宋体" w:eastAsia="宋体" w:cs="宋体"/>
          <w:kern w:val="0"/>
          <w:sz w:val="24"/>
          <w:szCs w:val="24"/>
        </w:rPr>
      </w:pPr>
      <w:r>
        <w:rPr>
          <w:rFonts w:hint="eastAsia" w:ascii="仿宋_GB2312" w:hAnsi="宋体" w:eastAsia="仿宋_GB2312" w:cs="Times New Roman"/>
          <w:kern w:val="0"/>
          <w:sz w:val="28"/>
          <w:szCs w:val="28"/>
        </w:rPr>
        <w:t>2016年12月</w:t>
      </w:r>
      <w:r>
        <w:rPr>
          <w:rFonts w:hint="eastAsia" w:ascii="Arial" w:hAnsi="Arial" w:cs="Arial"/>
          <w:color w:val="333333"/>
          <w:kern w:val="0"/>
          <w:sz w:val="17"/>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584B"/>
    <w:rsid w:val="00010D9F"/>
    <w:rsid w:val="00017A43"/>
    <w:rsid w:val="0002144D"/>
    <w:rsid w:val="00080BEA"/>
    <w:rsid w:val="000C4A27"/>
    <w:rsid w:val="00144DCB"/>
    <w:rsid w:val="00146C0B"/>
    <w:rsid w:val="00176AD7"/>
    <w:rsid w:val="00193EEF"/>
    <w:rsid w:val="001B5159"/>
    <w:rsid w:val="001B700E"/>
    <w:rsid w:val="001E299C"/>
    <w:rsid w:val="001F60C2"/>
    <w:rsid w:val="00200CF9"/>
    <w:rsid w:val="00212F1C"/>
    <w:rsid w:val="00244DB7"/>
    <w:rsid w:val="00256E0F"/>
    <w:rsid w:val="00264EDB"/>
    <w:rsid w:val="0027559E"/>
    <w:rsid w:val="002A5AAC"/>
    <w:rsid w:val="002E6279"/>
    <w:rsid w:val="002F7DCF"/>
    <w:rsid w:val="00312FB2"/>
    <w:rsid w:val="003155AB"/>
    <w:rsid w:val="00324E92"/>
    <w:rsid w:val="00345301"/>
    <w:rsid w:val="00375545"/>
    <w:rsid w:val="00375DE5"/>
    <w:rsid w:val="0038601D"/>
    <w:rsid w:val="0039760B"/>
    <w:rsid w:val="003B310C"/>
    <w:rsid w:val="004007BA"/>
    <w:rsid w:val="004218E3"/>
    <w:rsid w:val="0045600A"/>
    <w:rsid w:val="00495F76"/>
    <w:rsid w:val="004A03D7"/>
    <w:rsid w:val="00505851"/>
    <w:rsid w:val="00517B0E"/>
    <w:rsid w:val="005303F1"/>
    <w:rsid w:val="00570801"/>
    <w:rsid w:val="00576191"/>
    <w:rsid w:val="005829B9"/>
    <w:rsid w:val="005A1319"/>
    <w:rsid w:val="005A5722"/>
    <w:rsid w:val="005A6683"/>
    <w:rsid w:val="00600928"/>
    <w:rsid w:val="00601D5B"/>
    <w:rsid w:val="00634199"/>
    <w:rsid w:val="00640952"/>
    <w:rsid w:val="00684692"/>
    <w:rsid w:val="00686B7A"/>
    <w:rsid w:val="006957E0"/>
    <w:rsid w:val="006C09B3"/>
    <w:rsid w:val="00776D92"/>
    <w:rsid w:val="00791D88"/>
    <w:rsid w:val="00794E27"/>
    <w:rsid w:val="007E0218"/>
    <w:rsid w:val="00873838"/>
    <w:rsid w:val="008C0746"/>
    <w:rsid w:val="00900DFD"/>
    <w:rsid w:val="0090584B"/>
    <w:rsid w:val="0092131E"/>
    <w:rsid w:val="009325E9"/>
    <w:rsid w:val="009851D7"/>
    <w:rsid w:val="00990A8F"/>
    <w:rsid w:val="00996532"/>
    <w:rsid w:val="009C71E2"/>
    <w:rsid w:val="009E4F30"/>
    <w:rsid w:val="00A03824"/>
    <w:rsid w:val="00A038CC"/>
    <w:rsid w:val="00A071B9"/>
    <w:rsid w:val="00A13014"/>
    <w:rsid w:val="00A217A8"/>
    <w:rsid w:val="00A83BEB"/>
    <w:rsid w:val="00AF2C97"/>
    <w:rsid w:val="00B022C9"/>
    <w:rsid w:val="00B4005E"/>
    <w:rsid w:val="00B874E2"/>
    <w:rsid w:val="00BB2393"/>
    <w:rsid w:val="00BC63D3"/>
    <w:rsid w:val="00BE2D69"/>
    <w:rsid w:val="00BF49B8"/>
    <w:rsid w:val="00CC64F3"/>
    <w:rsid w:val="00CE2844"/>
    <w:rsid w:val="00D022A7"/>
    <w:rsid w:val="00D06AA2"/>
    <w:rsid w:val="00D10592"/>
    <w:rsid w:val="00D17C7B"/>
    <w:rsid w:val="00D507FD"/>
    <w:rsid w:val="00D53B7C"/>
    <w:rsid w:val="00D71766"/>
    <w:rsid w:val="00DC54BB"/>
    <w:rsid w:val="00DC5D28"/>
    <w:rsid w:val="00DD7A9F"/>
    <w:rsid w:val="00E27279"/>
    <w:rsid w:val="00E30FAB"/>
    <w:rsid w:val="00E40445"/>
    <w:rsid w:val="00E60AEE"/>
    <w:rsid w:val="00ED29AC"/>
    <w:rsid w:val="00F13C16"/>
    <w:rsid w:val="00F75A54"/>
    <w:rsid w:val="00F85064"/>
    <w:rsid w:val="400D3883"/>
    <w:rsid w:val="5B7C4C08"/>
    <w:rsid w:val="645F53E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Hyperlink"/>
    <w:basedOn w:val="3"/>
    <w:unhideWhenUsed/>
    <w:uiPriority w:val="99"/>
    <w:rPr>
      <w:color w:val="000000"/>
      <w:u w:val="none"/>
    </w:rPr>
  </w:style>
  <w:style w:type="paragraph" w:customStyle="1" w:styleId="6">
    <w:name w:val="time1"/>
    <w:basedOn w:val="1"/>
    <w:uiPriority w:val="0"/>
    <w:pPr>
      <w:widowControl/>
      <w:spacing w:before="60" w:after="240"/>
      <w:jc w:val="center"/>
    </w:pPr>
    <w:rPr>
      <w:rFonts w:ascii="宋体" w:hAnsi="宋体" w:eastAsia="宋体" w:cs="宋体"/>
      <w:color w:val="999999"/>
      <w:kern w:val="0"/>
      <w:sz w:val="24"/>
      <w:szCs w:val="24"/>
    </w:rPr>
  </w:style>
  <w:style w:type="character" w:customStyle="1" w:styleId="7">
    <w:name w:val="emtidy-1"/>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315</Words>
  <Characters>1800</Characters>
  <Lines>15</Lines>
  <Paragraphs>4</Paragraphs>
  <TotalTime>0</TotalTime>
  <ScaleCrop>false</ScaleCrop>
  <LinksUpToDate>false</LinksUpToDate>
  <CharactersWithSpaces>2111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2017-01-13T09:13:00Z</dcterms:created>
  <dc:creator>admin</dc:creator>
  <cp:lastModifiedBy>bingbing</cp:lastModifiedBy>
  <dcterms:modified xsi:type="dcterms:W3CDTF">2017-03-01T03:39:42Z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