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80" w:rsidRDefault="006341D4">
      <w:pPr>
        <w:widowControl/>
        <w:spacing w:line="360" w:lineRule="auto"/>
        <w:ind w:firstLineChars="200" w:firstLine="643"/>
        <w:jc w:val="center"/>
        <w:rPr>
          <w:rFonts w:ascii="Arial" w:hAnsi="Arial" w:cs="Arial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洛阳师范学院商学院</w:t>
      </w:r>
    </w:p>
    <w:p w:rsidR="00501580" w:rsidRDefault="006341D4">
      <w:pPr>
        <w:widowControl/>
        <w:spacing w:line="360" w:lineRule="auto"/>
        <w:ind w:firstLineChars="200" w:firstLine="643"/>
        <w:jc w:val="center"/>
        <w:rPr>
          <w:rFonts w:ascii="Arial" w:hAnsi="Arial" w:cs="Arial"/>
          <w:b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2017</w:t>
      </w:r>
      <w:r>
        <w:rPr>
          <w:rFonts w:ascii="Arial" w:hAnsi="Arial" w:cs="Arial" w:hint="eastAsia"/>
          <w:b/>
          <w:color w:val="000000"/>
          <w:kern w:val="0"/>
          <w:sz w:val="32"/>
          <w:szCs w:val="32"/>
        </w:rPr>
        <w:t>年高层次人才引进计划</w:t>
      </w:r>
    </w:p>
    <w:p w:rsidR="00501580" w:rsidRDefault="006341D4">
      <w:pPr>
        <w:spacing w:line="360" w:lineRule="auto"/>
        <w:ind w:firstLineChars="200" w:firstLine="562"/>
        <w:rPr>
          <w:rFonts w:ascii="Arial" w:hAnsi="Arial" w:cs="Arial"/>
          <w:b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b/>
          <w:color w:val="000000"/>
          <w:kern w:val="0"/>
          <w:sz w:val="28"/>
          <w:szCs w:val="28"/>
        </w:rPr>
        <w:t>一、学院简介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洛阳师范学院</w:t>
      </w:r>
      <w:r>
        <w:rPr>
          <w:rFonts w:ascii="Arial" w:hAnsi="Arial" w:cs="Arial" w:hint="eastAsia"/>
          <w:color w:val="000000"/>
          <w:kern w:val="0"/>
          <w:sz w:val="24"/>
        </w:rPr>
        <w:t>（</w:t>
      </w:r>
      <w:hyperlink r:id="rId6" w:history="1">
        <w:r>
          <w:rPr>
            <w:rFonts w:ascii="Arial" w:hAnsi="Arial" w:cs="Arial" w:hint="eastAsia"/>
            <w:color w:val="000000"/>
            <w:kern w:val="0"/>
            <w:sz w:val="24"/>
          </w:rPr>
          <w:t>http://www.lynu.edu.cn</w:t>
        </w:r>
      </w:hyperlink>
      <w:r>
        <w:rPr>
          <w:rFonts w:ascii="Arial" w:hAnsi="Arial" w:cs="Arial" w:hint="eastAsia"/>
          <w:color w:val="000000"/>
          <w:kern w:val="0"/>
          <w:sz w:val="24"/>
        </w:rPr>
        <w:t>）</w:t>
      </w:r>
      <w:r>
        <w:rPr>
          <w:rFonts w:ascii="Arial" w:hAnsi="Arial" w:cs="Arial"/>
          <w:color w:val="000000"/>
          <w:kern w:val="0"/>
          <w:sz w:val="24"/>
        </w:rPr>
        <w:t>是一所省属普通高等师范本科院校，</w:t>
      </w:r>
      <w:r>
        <w:rPr>
          <w:rFonts w:ascii="Arial" w:hAnsi="Arial" w:cs="Arial" w:hint="eastAsia"/>
          <w:color w:val="000000"/>
          <w:kern w:val="0"/>
          <w:sz w:val="24"/>
        </w:rPr>
        <w:t>位于千年帝都、牡丹花城——洛阳，文脉传承，底蕴丰厚</w:t>
      </w:r>
      <w:r>
        <w:rPr>
          <w:rFonts w:ascii="Arial" w:hAnsi="Arial" w:cs="Arial"/>
          <w:color w:val="000000"/>
          <w:kern w:val="0"/>
          <w:sz w:val="24"/>
        </w:rPr>
        <w:t>。</w:t>
      </w:r>
      <w:r>
        <w:rPr>
          <w:rFonts w:ascii="Arial" w:hAnsi="Arial" w:cs="Arial" w:hint="eastAsia"/>
          <w:color w:val="000000"/>
          <w:kern w:val="0"/>
          <w:sz w:val="24"/>
        </w:rPr>
        <w:t>学校现有</w:t>
      </w:r>
      <w:r>
        <w:rPr>
          <w:rFonts w:ascii="Arial" w:hAnsi="Arial" w:cs="Arial" w:hint="eastAsia"/>
          <w:color w:val="000000"/>
          <w:kern w:val="0"/>
          <w:sz w:val="24"/>
        </w:rPr>
        <w:t>23</w:t>
      </w:r>
      <w:r>
        <w:rPr>
          <w:rFonts w:ascii="Arial" w:hAnsi="Arial" w:cs="Arial" w:hint="eastAsia"/>
          <w:color w:val="000000"/>
          <w:kern w:val="0"/>
          <w:sz w:val="24"/>
        </w:rPr>
        <w:t>个学院，</w:t>
      </w:r>
      <w:r>
        <w:rPr>
          <w:rFonts w:ascii="Arial" w:hAnsi="Arial" w:cs="Arial" w:hint="eastAsia"/>
          <w:color w:val="000000"/>
          <w:kern w:val="0"/>
          <w:sz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</w:rPr>
        <w:t>个公共教研部，</w:t>
      </w:r>
      <w:r>
        <w:rPr>
          <w:rFonts w:ascii="Arial" w:hAnsi="Arial" w:cs="Arial" w:hint="eastAsia"/>
          <w:color w:val="000000"/>
          <w:kern w:val="0"/>
          <w:sz w:val="24"/>
        </w:rPr>
        <w:t>63</w:t>
      </w:r>
      <w:r>
        <w:rPr>
          <w:rFonts w:ascii="Arial" w:hAnsi="Arial" w:cs="Arial" w:hint="eastAsia"/>
          <w:color w:val="000000"/>
          <w:kern w:val="0"/>
          <w:sz w:val="24"/>
        </w:rPr>
        <w:t>个本科专业，涵盖文学、理学、工学、经济学、管理学、法学、历史学、教育学、艺术学、农学等</w:t>
      </w:r>
      <w:r>
        <w:rPr>
          <w:rFonts w:ascii="Arial" w:hAnsi="Arial" w:cs="Arial" w:hint="eastAsia"/>
          <w:color w:val="000000"/>
          <w:kern w:val="0"/>
          <w:sz w:val="24"/>
        </w:rPr>
        <w:t>10</w:t>
      </w:r>
      <w:r>
        <w:rPr>
          <w:rFonts w:ascii="Arial" w:hAnsi="Arial" w:cs="Arial" w:hint="eastAsia"/>
          <w:color w:val="000000"/>
          <w:kern w:val="0"/>
          <w:sz w:val="24"/>
        </w:rPr>
        <w:t>大学科门类。学校有全日制在校生</w:t>
      </w:r>
      <w:r>
        <w:rPr>
          <w:rFonts w:ascii="Arial" w:hAnsi="Arial" w:cs="Arial" w:hint="eastAsia"/>
          <w:color w:val="000000"/>
          <w:kern w:val="0"/>
          <w:sz w:val="24"/>
        </w:rPr>
        <w:t>30000</w:t>
      </w:r>
      <w:r>
        <w:rPr>
          <w:rFonts w:ascii="Arial" w:hAnsi="Arial" w:cs="Arial" w:hint="eastAsia"/>
          <w:color w:val="000000"/>
          <w:kern w:val="0"/>
          <w:sz w:val="24"/>
        </w:rPr>
        <w:t>余人，各类成人教育学生</w:t>
      </w:r>
      <w:r>
        <w:rPr>
          <w:rFonts w:ascii="Arial" w:hAnsi="Arial" w:cs="Arial" w:hint="eastAsia"/>
          <w:color w:val="000000"/>
          <w:kern w:val="0"/>
          <w:sz w:val="24"/>
        </w:rPr>
        <w:t>4000</w:t>
      </w:r>
      <w:r>
        <w:rPr>
          <w:rFonts w:ascii="Arial" w:hAnsi="Arial" w:cs="Arial" w:hint="eastAsia"/>
          <w:color w:val="000000"/>
          <w:kern w:val="0"/>
          <w:sz w:val="24"/>
        </w:rPr>
        <w:t>余人。现有教职工</w:t>
      </w:r>
      <w:r>
        <w:rPr>
          <w:rFonts w:ascii="Arial" w:hAnsi="Arial" w:cs="Arial" w:hint="eastAsia"/>
          <w:color w:val="000000"/>
          <w:kern w:val="0"/>
          <w:sz w:val="24"/>
        </w:rPr>
        <w:t>1450</w:t>
      </w:r>
      <w:r>
        <w:rPr>
          <w:rFonts w:ascii="Arial" w:hAnsi="Arial" w:cs="Arial" w:hint="eastAsia"/>
          <w:color w:val="000000"/>
          <w:kern w:val="0"/>
          <w:sz w:val="24"/>
        </w:rPr>
        <w:t>余人，其中，专任教师</w:t>
      </w:r>
      <w:r>
        <w:rPr>
          <w:rFonts w:ascii="Arial" w:hAnsi="Arial" w:cs="Arial" w:hint="eastAsia"/>
          <w:color w:val="000000"/>
          <w:kern w:val="0"/>
          <w:sz w:val="24"/>
        </w:rPr>
        <w:t>1200</w:t>
      </w:r>
      <w:r>
        <w:rPr>
          <w:rFonts w:ascii="Arial" w:hAnsi="Arial" w:cs="Arial" w:hint="eastAsia"/>
          <w:color w:val="000000"/>
          <w:kern w:val="0"/>
          <w:sz w:val="24"/>
        </w:rPr>
        <w:t>余人，高级职称人员</w:t>
      </w:r>
      <w:r>
        <w:rPr>
          <w:rFonts w:ascii="Arial" w:hAnsi="Arial" w:cs="Arial" w:hint="eastAsia"/>
          <w:color w:val="000000"/>
          <w:kern w:val="0"/>
          <w:sz w:val="24"/>
        </w:rPr>
        <w:t>460</w:t>
      </w:r>
      <w:r>
        <w:rPr>
          <w:rFonts w:ascii="Arial" w:hAnsi="Arial" w:cs="Arial" w:hint="eastAsia"/>
          <w:color w:val="000000"/>
          <w:kern w:val="0"/>
          <w:sz w:val="24"/>
        </w:rPr>
        <w:t>人，占专任教师的</w:t>
      </w:r>
      <w:r>
        <w:rPr>
          <w:rFonts w:ascii="Arial" w:hAnsi="Arial" w:cs="Arial" w:hint="eastAsia"/>
          <w:color w:val="000000"/>
          <w:kern w:val="0"/>
          <w:sz w:val="24"/>
        </w:rPr>
        <w:t>38%</w:t>
      </w:r>
      <w:r>
        <w:rPr>
          <w:rFonts w:ascii="Arial" w:hAnsi="Arial" w:cs="Arial" w:hint="eastAsia"/>
          <w:color w:val="000000"/>
          <w:kern w:val="0"/>
          <w:sz w:val="24"/>
        </w:rPr>
        <w:t>；具有博士学位人员</w:t>
      </w:r>
      <w:r>
        <w:rPr>
          <w:rFonts w:ascii="Arial" w:hAnsi="Arial" w:cs="Arial" w:hint="eastAsia"/>
          <w:color w:val="000000"/>
          <w:kern w:val="0"/>
          <w:sz w:val="24"/>
        </w:rPr>
        <w:t>240</w:t>
      </w:r>
      <w:r>
        <w:rPr>
          <w:rFonts w:ascii="Arial" w:hAnsi="Arial" w:cs="Arial" w:hint="eastAsia"/>
          <w:color w:val="000000"/>
          <w:kern w:val="0"/>
          <w:sz w:val="24"/>
        </w:rPr>
        <w:t>人，硕士学位人员</w:t>
      </w:r>
      <w:r>
        <w:rPr>
          <w:rFonts w:ascii="Arial" w:hAnsi="Arial" w:cs="Arial" w:hint="eastAsia"/>
          <w:color w:val="000000"/>
          <w:kern w:val="0"/>
          <w:sz w:val="24"/>
        </w:rPr>
        <w:t>770</w:t>
      </w:r>
      <w:r>
        <w:rPr>
          <w:rFonts w:ascii="Arial" w:hAnsi="Arial" w:cs="Arial" w:hint="eastAsia"/>
          <w:color w:val="000000"/>
          <w:kern w:val="0"/>
          <w:sz w:val="24"/>
        </w:rPr>
        <w:t>人，硕士以上学位人员占专任教师的</w:t>
      </w:r>
      <w:r>
        <w:rPr>
          <w:rFonts w:ascii="Arial" w:hAnsi="Arial" w:cs="Arial" w:hint="eastAsia"/>
          <w:color w:val="000000"/>
          <w:kern w:val="0"/>
          <w:sz w:val="24"/>
        </w:rPr>
        <w:t>84%</w:t>
      </w:r>
      <w:r>
        <w:rPr>
          <w:rFonts w:ascii="Arial" w:hAnsi="Arial" w:cs="Arial" w:hint="eastAsia"/>
          <w:color w:val="000000"/>
          <w:kern w:val="0"/>
          <w:sz w:val="24"/>
        </w:rPr>
        <w:t>。教师队伍中有新世纪百千万人才工程国家级人选、享受国务院特殊津贴专家、全国优秀教师、全国模范教师、教育部新世纪优秀人才、省优秀专家</w:t>
      </w:r>
      <w:r>
        <w:rPr>
          <w:rFonts w:ascii="Arial" w:hAnsi="Arial" w:cs="Arial" w:hint="eastAsia"/>
          <w:color w:val="000000"/>
          <w:kern w:val="0"/>
          <w:sz w:val="24"/>
        </w:rPr>
        <w:t>、</w:t>
      </w:r>
      <w:proofErr w:type="gramStart"/>
      <w:r>
        <w:rPr>
          <w:rFonts w:ascii="Arial" w:hAnsi="Arial" w:cs="Arial" w:hint="eastAsia"/>
          <w:color w:val="000000"/>
          <w:kern w:val="0"/>
          <w:sz w:val="24"/>
        </w:rPr>
        <w:t>省学术</w:t>
      </w:r>
      <w:proofErr w:type="gramEnd"/>
      <w:r>
        <w:rPr>
          <w:rFonts w:ascii="Arial" w:hAnsi="Arial" w:cs="Arial" w:hint="eastAsia"/>
          <w:color w:val="000000"/>
          <w:kern w:val="0"/>
          <w:sz w:val="24"/>
        </w:rPr>
        <w:t>技术带头人、省高校科技创新人才等各类优秀人才</w:t>
      </w:r>
      <w:r>
        <w:rPr>
          <w:rFonts w:ascii="Arial" w:hAnsi="Arial" w:cs="Arial" w:hint="eastAsia"/>
          <w:color w:val="000000"/>
          <w:kern w:val="0"/>
          <w:sz w:val="24"/>
        </w:rPr>
        <w:t>200</w:t>
      </w:r>
      <w:r>
        <w:rPr>
          <w:rFonts w:ascii="Arial" w:hAnsi="Arial" w:cs="Arial" w:hint="eastAsia"/>
          <w:color w:val="000000"/>
          <w:kern w:val="0"/>
          <w:sz w:val="24"/>
        </w:rPr>
        <w:t>余人。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洛阳师范学院商学院现有工商管理、市场营销、国际经济与贸易、会计学、物流管理五个本科专业其中，物流管理专业在洛阳地区高校中仅此一家。目前有河南省高等学校专业综合改革试点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个，河南省双语精品资源共享课程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门，校级精品课程</w:t>
      </w:r>
      <w:r>
        <w:rPr>
          <w:rFonts w:ascii="Arial" w:hAnsi="Arial" w:cs="Arial" w:hint="eastAsia"/>
          <w:color w:val="000000"/>
          <w:kern w:val="0"/>
          <w:sz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</w:rPr>
        <w:t>门，校级特色专业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个，校级教学团队</w:t>
      </w:r>
      <w:r>
        <w:rPr>
          <w:rFonts w:ascii="Arial" w:hAnsi="Arial" w:cs="Arial" w:hint="eastAsia"/>
          <w:color w:val="000000"/>
          <w:kern w:val="0"/>
          <w:sz w:val="24"/>
        </w:rPr>
        <w:t>2</w:t>
      </w:r>
      <w:r>
        <w:rPr>
          <w:rFonts w:ascii="Arial" w:hAnsi="Arial" w:cs="Arial" w:hint="eastAsia"/>
          <w:color w:val="000000"/>
          <w:kern w:val="0"/>
          <w:sz w:val="24"/>
        </w:rPr>
        <w:t>个，科研机构</w:t>
      </w:r>
      <w:r>
        <w:rPr>
          <w:rFonts w:ascii="Arial" w:hAnsi="Arial" w:cs="Arial" w:hint="eastAsia"/>
          <w:color w:val="000000"/>
          <w:kern w:val="0"/>
          <w:sz w:val="24"/>
        </w:rPr>
        <w:t>9</w:t>
      </w:r>
      <w:r>
        <w:rPr>
          <w:rFonts w:ascii="Arial" w:hAnsi="Arial" w:cs="Arial" w:hint="eastAsia"/>
          <w:color w:val="000000"/>
          <w:kern w:val="0"/>
          <w:sz w:val="24"/>
        </w:rPr>
        <w:t>个：河南省研究平台——中国（河南）自由贸易</w:t>
      </w:r>
      <w:proofErr w:type="gramStart"/>
      <w:r>
        <w:rPr>
          <w:rFonts w:ascii="Arial" w:hAnsi="Arial" w:cs="Arial" w:hint="eastAsia"/>
          <w:color w:val="000000"/>
          <w:kern w:val="0"/>
          <w:sz w:val="24"/>
        </w:rPr>
        <w:t>试验自</w:t>
      </w:r>
      <w:proofErr w:type="gramEnd"/>
      <w:r>
        <w:rPr>
          <w:rFonts w:ascii="Arial" w:hAnsi="Arial" w:cs="Arial" w:hint="eastAsia"/>
          <w:color w:val="000000"/>
          <w:kern w:val="0"/>
          <w:sz w:val="24"/>
        </w:rPr>
        <w:t>贸区研究院、洛阳市优秀人文社科重点研究基地——洛阳市中小企业研究中心、企业管理研究所、创业研究中心、三</w:t>
      </w:r>
      <w:proofErr w:type="gramStart"/>
      <w:r>
        <w:rPr>
          <w:rFonts w:ascii="Arial" w:hAnsi="Arial" w:cs="Arial" w:hint="eastAsia"/>
          <w:color w:val="000000"/>
          <w:kern w:val="0"/>
          <w:sz w:val="24"/>
        </w:rPr>
        <w:t>农问题</w:t>
      </w:r>
      <w:proofErr w:type="gramEnd"/>
      <w:r>
        <w:rPr>
          <w:rFonts w:ascii="Arial" w:hAnsi="Arial" w:cs="Arial" w:hint="eastAsia"/>
          <w:color w:val="000000"/>
          <w:kern w:val="0"/>
          <w:sz w:val="24"/>
        </w:rPr>
        <w:t>研究中心、信用管理研究</w:t>
      </w:r>
      <w:r>
        <w:rPr>
          <w:rFonts w:ascii="Arial" w:hAnsi="Arial" w:cs="Arial" w:hint="eastAsia"/>
          <w:color w:val="000000"/>
          <w:kern w:val="0"/>
          <w:sz w:val="24"/>
        </w:rPr>
        <w:t>中心、“一带一路”（河南）发展研究中心、智慧城市研究中心和服务营销研究中心；有专业实验室六个：创业实训中心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个、国际贸易实验室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个、</w:t>
      </w:r>
      <w:r>
        <w:rPr>
          <w:rFonts w:ascii="Arial" w:hAnsi="Arial" w:cs="Arial" w:hint="eastAsia"/>
          <w:color w:val="000000"/>
          <w:kern w:val="0"/>
          <w:sz w:val="24"/>
        </w:rPr>
        <w:t>ERP</w:t>
      </w:r>
      <w:r>
        <w:rPr>
          <w:rFonts w:ascii="Arial" w:hAnsi="Arial" w:cs="Arial" w:hint="eastAsia"/>
          <w:color w:val="000000"/>
          <w:kern w:val="0"/>
          <w:sz w:val="24"/>
        </w:rPr>
        <w:t>实验室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个、人因工程实验室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个、会计手工实验室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个、人力资源管理实验室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个、市场营销实验室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个。全日制本科生达</w:t>
      </w:r>
      <w:r>
        <w:rPr>
          <w:rFonts w:ascii="Arial" w:hAnsi="Arial" w:cs="Arial" w:hint="eastAsia"/>
          <w:color w:val="000000"/>
          <w:kern w:val="0"/>
          <w:sz w:val="24"/>
        </w:rPr>
        <w:t>2600</w:t>
      </w:r>
      <w:r>
        <w:rPr>
          <w:rFonts w:ascii="Arial" w:hAnsi="Arial" w:cs="Arial" w:hint="eastAsia"/>
          <w:color w:val="000000"/>
          <w:kern w:val="0"/>
          <w:sz w:val="24"/>
        </w:rPr>
        <w:t>余人，成人教育</w:t>
      </w:r>
      <w:r>
        <w:rPr>
          <w:rFonts w:ascii="Arial" w:hAnsi="Arial" w:cs="Arial" w:hint="eastAsia"/>
          <w:color w:val="000000"/>
          <w:kern w:val="0"/>
          <w:sz w:val="24"/>
        </w:rPr>
        <w:t>100</w:t>
      </w:r>
      <w:r>
        <w:rPr>
          <w:rFonts w:ascii="Arial" w:hAnsi="Arial" w:cs="Arial" w:hint="eastAsia"/>
          <w:color w:val="000000"/>
          <w:kern w:val="0"/>
          <w:sz w:val="24"/>
        </w:rPr>
        <w:t>余人，工商管理专业和会计专业第二学位班</w:t>
      </w:r>
      <w:r>
        <w:rPr>
          <w:rFonts w:ascii="Arial" w:hAnsi="Arial" w:cs="Arial" w:hint="eastAsia"/>
          <w:color w:val="000000"/>
          <w:kern w:val="0"/>
          <w:sz w:val="24"/>
        </w:rPr>
        <w:t>400</w:t>
      </w:r>
      <w:r>
        <w:rPr>
          <w:rFonts w:ascii="Arial" w:hAnsi="Arial" w:cs="Arial" w:hint="eastAsia"/>
          <w:color w:val="000000"/>
          <w:kern w:val="0"/>
          <w:sz w:val="24"/>
        </w:rPr>
        <w:t>余人。商学院的师资队伍以中青年为主体，师承来源广泛，</w:t>
      </w:r>
      <w:r>
        <w:rPr>
          <w:rFonts w:ascii="Arial" w:hAnsi="Arial" w:cs="Arial" w:hint="eastAsia"/>
          <w:color w:val="000000"/>
          <w:kern w:val="0"/>
          <w:sz w:val="24"/>
        </w:rPr>
        <w:lastRenderedPageBreak/>
        <w:t>结构合理，现有教职工</w:t>
      </w:r>
      <w:r>
        <w:rPr>
          <w:rFonts w:ascii="Arial" w:hAnsi="Arial" w:cs="Arial" w:hint="eastAsia"/>
          <w:color w:val="000000"/>
          <w:kern w:val="0"/>
          <w:sz w:val="24"/>
        </w:rPr>
        <w:t>60</w:t>
      </w:r>
      <w:r>
        <w:rPr>
          <w:rFonts w:ascii="Arial" w:hAnsi="Arial" w:cs="Arial" w:hint="eastAsia"/>
          <w:color w:val="000000"/>
          <w:kern w:val="0"/>
          <w:sz w:val="24"/>
        </w:rPr>
        <w:t>余人。商学院独立的教学办公楼达</w:t>
      </w:r>
      <w:r>
        <w:rPr>
          <w:rFonts w:ascii="Arial" w:hAnsi="Arial" w:cs="Arial" w:hint="eastAsia"/>
          <w:color w:val="000000"/>
          <w:kern w:val="0"/>
          <w:sz w:val="24"/>
        </w:rPr>
        <w:t>8000</w:t>
      </w:r>
      <w:r>
        <w:rPr>
          <w:rFonts w:ascii="Arial" w:hAnsi="Arial" w:cs="Arial" w:hint="eastAsia"/>
          <w:color w:val="000000"/>
          <w:kern w:val="0"/>
          <w:sz w:val="24"/>
        </w:rPr>
        <w:t>平方米，办公设施先进，教学科研资源充足。为了适应学院的发展，洛阳师范学院商学院</w:t>
      </w:r>
      <w:r>
        <w:rPr>
          <w:rFonts w:ascii="Arial" w:hAnsi="Arial" w:cs="Arial" w:hint="eastAsia"/>
          <w:color w:val="000000"/>
          <w:kern w:val="0"/>
          <w:sz w:val="24"/>
        </w:rPr>
        <w:t>现面向海内外诚邀各类优秀人才！</w:t>
      </w:r>
    </w:p>
    <w:p w:rsidR="00501580" w:rsidRDefault="00501580">
      <w:pPr>
        <w:widowControl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</w:rPr>
      </w:pPr>
    </w:p>
    <w:p w:rsidR="00501580" w:rsidRDefault="006341D4">
      <w:pPr>
        <w:spacing w:line="360" w:lineRule="auto"/>
        <w:ind w:leftChars="304" w:left="638"/>
        <w:rPr>
          <w:rFonts w:ascii="Arial" w:hAnsi="Arial" w:cs="Arial"/>
          <w:b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b/>
          <w:color w:val="000000"/>
          <w:kern w:val="0"/>
          <w:sz w:val="28"/>
          <w:szCs w:val="28"/>
        </w:rPr>
        <w:t>二、引进高层次人才对象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（一）两院院士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（二）“新世纪百千万人才工程”国家级人选、“长江学者奖励计划”人选、“千人计划”人选、国家杰出青年、优秀青年科学基金项目获得者等。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（三）学科带头人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学校省级以上研究平台：省级协同创新中心、重点学科、重点研究基地、重点实验室等急需的优秀人才。具有国内外知名高校博士研究生学历学位，副高以上职称，年龄在</w:t>
      </w:r>
      <w:r>
        <w:rPr>
          <w:rFonts w:ascii="Arial" w:hAnsi="Arial" w:cs="Arial" w:hint="eastAsia"/>
          <w:color w:val="000000"/>
          <w:kern w:val="0"/>
          <w:sz w:val="24"/>
        </w:rPr>
        <w:t>40</w:t>
      </w:r>
      <w:r>
        <w:rPr>
          <w:rFonts w:ascii="Arial" w:hAnsi="Arial" w:cs="Arial" w:hint="eastAsia"/>
          <w:color w:val="000000"/>
          <w:kern w:val="0"/>
          <w:sz w:val="24"/>
        </w:rPr>
        <w:t>岁以下（特别优秀的年龄可以放宽到</w:t>
      </w:r>
      <w:r>
        <w:rPr>
          <w:rFonts w:ascii="Arial" w:hAnsi="Arial" w:cs="Arial" w:hint="eastAsia"/>
          <w:color w:val="000000"/>
          <w:kern w:val="0"/>
          <w:sz w:val="24"/>
        </w:rPr>
        <w:t>45</w:t>
      </w:r>
      <w:r>
        <w:rPr>
          <w:rFonts w:ascii="Arial" w:hAnsi="Arial" w:cs="Arial" w:hint="eastAsia"/>
          <w:color w:val="000000"/>
          <w:kern w:val="0"/>
          <w:sz w:val="24"/>
        </w:rPr>
        <w:t>岁），且具备下列条件之一：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1.</w:t>
      </w:r>
      <w:r>
        <w:rPr>
          <w:rFonts w:ascii="Arial" w:hAnsi="Arial" w:cs="Arial" w:hint="eastAsia"/>
          <w:color w:val="000000"/>
          <w:kern w:val="0"/>
          <w:sz w:val="24"/>
        </w:rPr>
        <w:t>人文社科类在</w:t>
      </w:r>
      <w:r>
        <w:rPr>
          <w:rFonts w:ascii="Arial" w:hAnsi="Arial" w:cs="Arial"/>
          <w:color w:val="000000"/>
          <w:kern w:val="0"/>
          <w:sz w:val="24"/>
        </w:rPr>
        <w:t>CSSCI</w:t>
      </w:r>
      <w:r>
        <w:rPr>
          <w:rFonts w:ascii="Arial" w:hAnsi="Arial" w:cs="Arial"/>
          <w:color w:val="000000"/>
          <w:kern w:val="0"/>
          <w:sz w:val="24"/>
        </w:rPr>
        <w:t>来源期刊</w:t>
      </w:r>
      <w:r>
        <w:rPr>
          <w:rFonts w:ascii="Arial" w:hAnsi="Arial" w:cs="Arial" w:hint="eastAsia"/>
          <w:color w:val="000000"/>
          <w:kern w:val="0"/>
          <w:sz w:val="24"/>
        </w:rPr>
        <w:t>（不含扩展板）独立发表论文</w:t>
      </w:r>
      <w:r>
        <w:rPr>
          <w:rFonts w:ascii="Arial" w:hAnsi="Arial" w:cs="Arial" w:hint="eastAsia"/>
          <w:color w:val="000000"/>
          <w:kern w:val="0"/>
          <w:sz w:val="24"/>
        </w:rPr>
        <w:t>6</w:t>
      </w:r>
      <w:r>
        <w:rPr>
          <w:rFonts w:ascii="Arial" w:hAnsi="Arial" w:cs="Arial"/>
          <w:color w:val="000000"/>
          <w:kern w:val="0"/>
          <w:sz w:val="24"/>
        </w:rPr>
        <w:t>篇以上</w:t>
      </w:r>
      <w:r>
        <w:rPr>
          <w:rFonts w:ascii="Arial" w:hAnsi="Arial" w:cs="Arial" w:hint="eastAsia"/>
          <w:color w:val="000000"/>
          <w:kern w:val="0"/>
          <w:sz w:val="24"/>
        </w:rPr>
        <w:t>，</w:t>
      </w:r>
      <w:r>
        <w:rPr>
          <w:rFonts w:ascii="Arial" w:hAnsi="Arial" w:cs="Arial" w:hint="eastAsia"/>
          <w:color w:val="000000"/>
          <w:kern w:val="0"/>
          <w:sz w:val="24"/>
        </w:rPr>
        <w:t>其中</w:t>
      </w:r>
      <w:r>
        <w:rPr>
          <w:rFonts w:ascii="Arial" w:hAnsi="Arial" w:cs="Arial" w:hint="eastAsia"/>
          <w:color w:val="000000"/>
          <w:kern w:val="0"/>
          <w:sz w:val="24"/>
        </w:rPr>
        <w:t>2</w:t>
      </w:r>
      <w:r>
        <w:rPr>
          <w:rFonts w:ascii="Arial" w:hAnsi="Arial" w:cs="Arial" w:hint="eastAsia"/>
          <w:color w:val="000000"/>
          <w:kern w:val="0"/>
          <w:sz w:val="24"/>
        </w:rPr>
        <w:t>篇发表在我校认定的国家级</w:t>
      </w:r>
      <w:r>
        <w:rPr>
          <w:rFonts w:ascii="Arial" w:hAnsi="Arial" w:cs="Arial" w:hint="eastAsia"/>
          <w:color w:val="000000"/>
          <w:kern w:val="0"/>
          <w:sz w:val="24"/>
        </w:rPr>
        <w:t>A</w:t>
      </w:r>
      <w:r>
        <w:rPr>
          <w:rFonts w:ascii="Arial" w:hAnsi="Arial" w:cs="Arial" w:hint="eastAsia"/>
          <w:color w:val="000000"/>
          <w:kern w:val="0"/>
          <w:sz w:val="24"/>
        </w:rPr>
        <w:t>类或</w:t>
      </w:r>
      <w:r>
        <w:rPr>
          <w:rFonts w:ascii="Arial" w:hAnsi="Arial" w:cs="Arial" w:hint="eastAsia"/>
          <w:color w:val="000000"/>
          <w:kern w:val="0"/>
          <w:sz w:val="24"/>
        </w:rPr>
        <w:t>B</w:t>
      </w:r>
      <w:r>
        <w:rPr>
          <w:rFonts w:ascii="Arial" w:hAnsi="Arial" w:cs="Arial" w:hint="eastAsia"/>
          <w:color w:val="000000"/>
          <w:kern w:val="0"/>
          <w:sz w:val="24"/>
        </w:rPr>
        <w:t>类核心期刊。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2.</w:t>
      </w:r>
      <w:r>
        <w:rPr>
          <w:rFonts w:ascii="Arial" w:hAnsi="Arial" w:cs="Arial" w:hint="eastAsia"/>
          <w:color w:val="000000"/>
          <w:kern w:val="0"/>
          <w:sz w:val="24"/>
        </w:rPr>
        <w:t>人文社科</w:t>
      </w:r>
      <w:proofErr w:type="gramStart"/>
      <w:r>
        <w:rPr>
          <w:rFonts w:ascii="Arial" w:hAnsi="Arial" w:cs="Arial" w:hint="eastAsia"/>
          <w:color w:val="000000"/>
          <w:kern w:val="0"/>
          <w:sz w:val="24"/>
        </w:rPr>
        <w:t>类主持</w:t>
      </w:r>
      <w:proofErr w:type="gramEnd"/>
      <w:r>
        <w:rPr>
          <w:rFonts w:ascii="Arial" w:hAnsi="Arial" w:cs="Arial" w:hint="eastAsia"/>
          <w:color w:val="000000"/>
          <w:kern w:val="0"/>
          <w:sz w:val="24"/>
        </w:rPr>
        <w:t>或作为主要参与人（导师排名第一，本人排名第二）承担国家社科基金或教育部人文社科研究项目，并在</w:t>
      </w:r>
      <w:r>
        <w:rPr>
          <w:rFonts w:ascii="Arial" w:hAnsi="Arial" w:cs="Arial"/>
          <w:color w:val="000000"/>
          <w:kern w:val="0"/>
          <w:sz w:val="24"/>
        </w:rPr>
        <w:t>CSSCI</w:t>
      </w:r>
      <w:r>
        <w:rPr>
          <w:rFonts w:ascii="Arial" w:hAnsi="Arial" w:cs="Arial"/>
          <w:color w:val="000000"/>
          <w:kern w:val="0"/>
          <w:sz w:val="24"/>
        </w:rPr>
        <w:t>来源期刊</w:t>
      </w:r>
      <w:r>
        <w:rPr>
          <w:rFonts w:ascii="Arial" w:hAnsi="Arial" w:cs="Arial" w:hint="eastAsia"/>
          <w:color w:val="000000"/>
          <w:kern w:val="0"/>
          <w:sz w:val="24"/>
        </w:rPr>
        <w:t>（不含扩展板）独立发表论文</w:t>
      </w:r>
      <w:r>
        <w:rPr>
          <w:rFonts w:ascii="Arial" w:hAnsi="Arial" w:cs="Arial" w:hint="eastAsia"/>
          <w:color w:val="000000"/>
          <w:kern w:val="0"/>
          <w:sz w:val="24"/>
        </w:rPr>
        <w:t>4</w:t>
      </w:r>
      <w:r>
        <w:rPr>
          <w:rFonts w:ascii="Arial" w:hAnsi="Arial" w:cs="Arial"/>
          <w:color w:val="000000"/>
          <w:kern w:val="0"/>
          <w:sz w:val="24"/>
        </w:rPr>
        <w:t>篇以上</w:t>
      </w:r>
      <w:r>
        <w:rPr>
          <w:rFonts w:ascii="Arial" w:hAnsi="Arial" w:cs="Arial" w:hint="eastAsia"/>
          <w:color w:val="000000"/>
          <w:kern w:val="0"/>
          <w:sz w:val="24"/>
        </w:rPr>
        <w:t>，其中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篇发表在我校认定的国家级</w:t>
      </w:r>
      <w:r>
        <w:rPr>
          <w:rFonts w:ascii="Arial" w:hAnsi="Arial" w:cs="Arial" w:hint="eastAsia"/>
          <w:color w:val="000000"/>
          <w:kern w:val="0"/>
          <w:sz w:val="24"/>
        </w:rPr>
        <w:t>A</w:t>
      </w:r>
      <w:r>
        <w:rPr>
          <w:rFonts w:ascii="Arial" w:hAnsi="Arial" w:cs="Arial" w:hint="eastAsia"/>
          <w:color w:val="000000"/>
          <w:kern w:val="0"/>
          <w:sz w:val="24"/>
        </w:rPr>
        <w:t>类或</w:t>
      </w:r>
      <w:r>
        <w:rPr>
          <w:rFonts w:ascii="Arial" w:hAnsi="Arial" w:cs="Arial" w:hint="eastAsia"/>
          <w:color w:val="000000"/>
          <w:kern w:val="0"/>
          <w:sz w:val="24"/>
        </w:rPr>
        <w:t>B</w:t>
      </w:r>
      <w:r>
        <w:rPr>
          <w:rFonts w:ascii="Arial" w:hAnsi="Arial" w:cs="Arial" w:hint="eastAsia"/>
          <w:color w:val="000000"/>
          <w:kern w:val="0"/>
          <w:sz w:val="24"/>
        </w:rPr>
        <w:t>类核心期刊。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3.</w:t>
      </w:r>
      <w:r>
        <w:rPr>
          <w:rFonts w:ascii="Arial" w:hAnsi="Arial" w:cs="Arial" w:hint="eastAsia"/>
          <w:color w:val="000000"/>
          <w:kern w:val="0"/>
          <w:sz w:val="24"/>
        </w:rPr>
        <w:t>获得国家教学成果二等奖以上，教育部人文社科成果二等奖以上。</w:t>
      </w:r>
    </w:p>
    <w:p w:rsidR="00501580" w:rsidRDefault="006341D4">
      <w:pPr>
        <w:spacing w:line="360" w:lineRule="auto"/>
        <w:ind w:leftChars="304" w:left="638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（四）博士：</w:t>
      </w:r>
    </w:p>
    <w:p w:rsidR="00501580" w:rsidRDefault="006341D4">
      <w:pPr>
        <w:spacing w:line="360" w:lineRule="auto"/>
        <w:ind w:leftChars="304" w:left="638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年龄</w:t>
      </w:r>
      <w:r>
        <w:rPr>
          <w:rFonts w:ascii="Arial" w:hAnsi="Arial" w:cs="Arial" w:hint="eastAsia"/>
          <w:color w:val="000000"/>
          <w:kern w:val="0"/>
          <w:sz w:val="24"/>
        </w:rPr>
        <w:t>40</w:t>
      </w:r>
      <w:r>
        <w:rPr>
          <w:rFonts w:ascii="Arial" w:hAnsi="Arial" w:cs="Arial" w:hint="eastAsia"/>
          <w:color w:val="000000"/>
          <w:kern w:val="0"/>
          <w:sz w:val="24"/>
        </w:rPr>
        <w:t>岁以下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lastRenderedPageBreak/>
        <w:t>1</w:t>
      </w:r>
      <w:r>
        <w:rPr>
          <w:rFonts w:ascii="Arial" w:hAnsi="Arial" w:cs="Arial"/>
          <w:color w:val="000000"/>
          <w:kern w:val="0"/>
          <w:sz w:val="24"/>
        </w:rPr>
        <w:t>、</w:t>
      </w:r>
      <w:r>
        <w:rPr>
          <w:rFonts w:ascii="Arial" w:hAnsi="Arial" w:cs="Arial" w:hint="eastAsia"/>
          <w:color w:val="000000"/>
          <w:kern w:val="0"/>
          <w:sz w:val="24"/>
        </w:rPr>
        <w:t>优秀</w:t>
      </w:r>
      <w:r>
        <w:rPr>
          <w:rFonts w:ascii="Arial" w:hAnsi="Arial" w:cs="Arial"/>
          <w:color w:val="000000"/>
          <w:kern w:val="0"/>
          <w:sz w:val="24"/>
        </w:rPr>
        <w:t>博士具备下列条件之一</w:t>
      </w:r>
      <w:r>
        <w:rPr>
          <w:rFonts w:ascii="Arial" w:hAnsi="Arial" w:cs="Arial" w:hint="eastAsia"/>
          <w:color w:val="000000"/>
          <w:kern w:val="0"/>
          <w:sz w:val="24"/>
        </w:rPr>
        <w:t>：</w:t>
      </w:r>
    </w:p>
    <w:p w:rsidR="00501580" w:rsidRDefault="006341D4">
      <w:pPr>
        <w:spacing w:line="360" w:lineRule="auto"/>
        <w:ind w:firstLineChars="150" w:firstLine="36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（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）</w:t>
      </w:r>
      <w:r>
        <w:rPr>
          <w:rFonts w:ascii="Arial" w:hAnsi="Arial" w:cs="Arial"/>
          <w:color w:val="000000"/>
          <w:kern w:val="0"/>
          <w:sz w:val="24"/>
        </w:rPr>
        <w:t>海外知名大学毕业</w:t>
      </w:r>
      <w:r>
        <w:rPr>
          <w:rFonts w:ascii="Arial" w:hAnsi="Arial" w:cs="Arial" w:hint="eastAsia"/>
          <w:color w:val="000000"/>
          <w:kern w:val="0"/>
          <w:sz w:val="24"/>
        </w:rPr>
        <w:t>或</w:t>
      </w:r>
      <w:r>
        <w:rPr>
          <w:rFonts w:ascii="Arial" w:hAnsi="Arial" w:cs="Arial"/>
          <w:color w:val="000000"/>
          <w:kern w:val="0"/>
          <w:sz w:val="24"/>
        </w:rPr>
        <w:t>具有海外知名大学</w:t>
      </w:r>
      <w:r>
        <w:rPr>
          <w:rFonts w:ascii="Arial" w:hAnsi="Arial" w:cs="Arial" w:hint="eastAsia"/>
          <w:color w:val="000000"/>
          <w:kern w:val="0"/>
          <w:sz w:val="24"/>
        </w:rPr>
        <w:t>、</w:t>
      </w:r>
      <w:r>
        <w:rPr>
          <w:rFonts w:ascii="Arial" w:hAnsi="Arial" w:cs="Arial"/>
          <w:color w:val="000000"/>
          <w:kern w:val="0"/>
          <w:sz w:val="24"/>
        </w:rPr>
        <w:t>科研机构任职经历</w:t>
      </w:r>
      <w:r>
        <w:rPr>
          <w:rFonts w:ascii="Arial" w:hAnsi="Arial" w:cs="Arial" w:hint="eastAsia"/>
          <w:color w:val="000000"/>
          <w:kern w:val="0"/>
          <w:sz w:val="24"/>
        </w:rPr>
        <w:t>，</w:t>
      </w:r>
      <w:r>
        <w:rPr>
          <w:rFonts w:ascii="Arial" w:hAnsi="Arial" w:cs="Arial"/>
          <w:color w:val="000000"/>
          <w:kern w:val="0"/>
          <w:sz w:val="24"/>
        </w:rPr>
        <w:t>在国外著名学术刊物发表过有影响的学术论文</w:t>
      </w:r>
      <w:r>
        <w:rPr>
          <w:rFonts w:ascii="Arial" w:hAnsi="Arial" w:cs="Arial" w:hint="eastAsia"/>
          <w:color w:val="000000"/>
          <w:kern w:val="0"/>
          <w:sz w:val="24"/>
        </w:rPr>
        <w:t>或</w:t>
      </w:r>
      <w:r>
        <w:rPr>
          <w:rFonts w:ascii="Arial" w:hAnsi="Arial" w:cs="Arial"/>
          <w:color w:val="000000"/>
          <w:kern w:val="0"/>
          <w:sz w:val="24"/>
        </w:rPr>
        <w:t>获得过有国际影响力的学术奖励。</w:t>
      </w:r>
      <w:r>
        <w:rPr>
          <w:rFonts w:ascii="Arial" w:hAnsi="Arial" w:cs="Arial" w:hint="eastAsia"/>
          <w:color w:val="000000"/>
          <w:kern w:val="0"/>
          <w:sz w:val="24"/>
        </w:rPr>
        <w:t xml:space="preserve">                                             </w:t>
      </w:r>
    </w:p>
    <w:p w:rsidR="00501580" w:rsidRDefault="006341D4">
      <w:pPr>
        <w:spacing w:line="360" w:lineRule="auto"/>
        <w:ind w:firstLineChars="150" w:firstLine="36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（</w:t>
      </w:r>
      <w:r>
        <w:rPr>
          <w:rFonts w:ascii="Arial" w:hAnsi="Arial" w:cs="Arial" w:hint="eastAsia"/>
          <w:color w:val="000000"/>
          <w:kern w:val="0"/>
          <w:sz w:val="24"/>
        </w:rPr>
        <w:t>2</w:t>
      </w:r>
      <w:r>
        <w:rPr>
          <w:rFonts w:ascii="Arial" w:hAnsi="Arial" w:cs="Arial"/>
          <w:color w:val="000000"/>
          <w:kern w:val="0"/>
          <w:sz w:val="24"/>
        </w:rPr>
        <w:t>）</w:t>
      </w:r>
      <w:r>
        <w:rPr>
          <w:rFonts w:ascii="Arial" w:hAnsi="Arial" w:cs="Arial" w:hint="eastAsia"/>
          <w:color w:val="000000"/>
          <w:kern w:val="0"/>
          <w:sz w:val="24"/>
        </w:rPr>
        <w:t>主持国家级项目或教育部人文社科项目（导师排名第一，本人排名第二）。</w:t>
      </w:r>
    </w:p>
    <w:p w:rsidR="00501580" w:rsidRDefault="006341D4">
      <w:pPr>
        <w:spacing w:line="360" w:lineRule="auto"/>
        <w:ind w:firstLineChars="150" w:firstLine="36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（</w:t>
      </w:r>
      <w:r>
        <w:rPr>
          <w:rFonts w:ascii="Arial" w:hAnsi="Arial" w:cs="Arial" w:hint="eastAsia"/>
          <w:color w:val="000000"/>
          <w:kern w:val="0"/>
          <w:sz w:val="24"/>
        </w:rPr>
        <w:t>3</w:t>
      </w:r>
      <w:r>
        <w:rPr>
          <w:rFonts w:ascii="Arial" w:hAnsi="Arial" w:cs="Arial"/>
          <w:color w:val="000000"/>
          <w:kern w:val="0"/>
          <w:sz w:val="24"/>
        </w:rPr>
        <w:t>）</w:t>
      </w:r>
      <w:r>
        <w:rPr>
          <w:rFonts w:ascii="Arial" w:hAnsi="Arial" w:cs="Arial" w:hint="eastAsia"/>
          <w:color w:val="000000"/>
          <w:kern w:val="0"/>
          <w:sz w:val="24"/>
        </w:rPr>
        <w:t>人文社科类博士在</w:t>
      </w:r>
      <w:r>
        <w:rPr>
          <w:rFonts w:ascii="Arial" w:hAnsi="Arial" w:cs="Arial"/>
          <w:color w:val="000000"/>
          <w:kern w:val="0"/>
          <w:sz w:val="24"/>
        </w:rPr>
        <w:t>CSSCI</w:t>
      </w:r>
      <w:r>
        <w:rPr>
          <w:rFonts w:ascii="Arial" w:hAnsi="Arial" w:cs="Arial"/>
          <w:color w:val="000000"/>
          <w:kern w:val="0"/>
          <w:sz w:val="24"/>
        </w:rPr>
        <w:t>来源期刊</w:t>
      </w:r>
      <w:r>
        <w:rPr>
          <w:rFonts w:ascii="Arial" w:hAnsi="Arial" w:cs="Arial" w:hint="eastAsia"/>
          <w:color w:val="000000"/>
          <w:kern w:val="0"/>
          <w:sz w:val="24"/>
        </w:rPr>
        <w:t>（不含扩展板）独立发表论文</w:t>
      </w:r>
      <w:r>
        <w:rPr>
          <w:rFonts w:ascii="Arial" w:hAnsi="Arial" w:cs="Arial" w:hint="eastAsia"/>
          <w:color w:val="000000"/>
          <w:kern w:val="0"/>
          <w:sz w:val="24"/>
        </w:rPr>
        <w:t>3</w:t>
      </w:r>
      <w:r>
        <w:rPr>
          <w:rFonts w:ascii="Arial" w:hAnsi="Arial" w:cs="Arial"/>
          <w:color w:val="000000"/>
          <w:kern w:val="0"/>
          <w:sz w:val="24"/>
        </w:rPr>
        <w:t>篇以上</w:t>
      </w:r>
      <w:r>
        <w:rPr>
          <w:rFonts w:ascii="Arial" w:hAnsi="Arial" w:cs="Arial" w:hint="eastAsia"/>
          <w:color w:val="000000"/>
          <w:kern w:val="0"/>
          <w:sz w:val="24"/>
        </w:rPr>
        <w:t>（其中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</w:rPr>
        <w:t>篇发表在我校认定的国家级</w:t>
      </w:r>
      <w:r>
        <w:rPr>
          <w:rFonts w:ascii="Arial" w:hAnsi="Arial" w:cs="Arial" w:hint="eastAsia"/>
          <w:color w:val="000000"/>
          <w:kern w:val="0"/>
          <w:sz w:val="24"/>
        </w:rPr>
        <w:t>A</w:t>
      </w:r>
      <w:r>
        <w:rPr>
          <w:rFonts w:ascii="Arial" w:hAnsi="Arial" w:cs="Arial" w:hint="eastAsia"/>
          <w:color w:val="000000"/>
          <w:kern w:val="0"/>
          <w:sz w:val="24"/>
        </w:rPr>
        <w:t>类或</w:t>
      </w:r>
      <w:r>
        <w:rPr>
          <w:rFonts w:ascii="Arial" w:hAnsi="Arial" w:cs="Arial" w:hint="eastAsia"/>
          <w:color w:val="000000"/>
          <w:kern w:val="0"/>
          <w:sz w:val="24"/>
        </w:rPr>
        <w:t>B</w:t>
      </w:r>
      <w:r>
        <w:rPr>
          <w:rFonts w:ascii="Arial" w:hAnsi="Arial" w:cs="Arial" w:hint="eastAsia"/>
          <w:color w:val="000000"/>
          <w:kern w:val="0"/>
          <w:sz w:val="24"/>
        </w:rPr>
        <w:t>类核心期刊），或在省级以上出版社出版学术专著，并在</w:t>
      </w:r>
      <w:r>
        <w:rPr>
          <w:rFonts w:ascii="Arial" w:hAnsi="Arial" w:cs="Arial"/>
          <w:color w:val="000000"/>
          <w:kern w:val="0"/>
          <w:sz w:val="24"/>
        </w:rPr>
        <w:t>CSSCI</w:t>
      </w:r>
      <w:r>
        <w:rPr>
          <w:rFonts w:ascii="Arial" w:hAnsi="Arial" w:cs="Arial"/>
          <w:color w:val="000000"/>
          <w:kern w:val="0"/>
          <w:sz w:val="24"/>
        </w:rPr>
        <w:t>来源期刊</w:t>
      </w:r>
      <w:r>
        <w:rPr>
          <w:rFonts w:ascii="Arial" w:hAnsi="Arial" w:cs="Arial" w:hint="eastAsia"/>
          <w:color w:val="000000"/>
          <w:kern w:val="0"/>
          <w:sz w:val="24"/>
        </w:rPr>
        <w:t>（不含扩展板）独立发表论文</w:t>
      </w:r>
      <w:r>
        <w:rPr>
          <w:rFonts w:ascii="Arial" w:hAnsi="Arial" w:cs="Arial" w:hint="eastAsia"/>
          <w:color w:val="000000"/>
          <w:kern w:val="0"/>
          <w:sz w:val="24"/>
        </w:rPr>
        <w:t>2</w:t>
      </w:r>
      <w:r>
        <w:rPr>
          <w:rFonts w:ascii="Arial" w:hAnsi="Arial" w:cs="Arial"/>
          <w:color w:val="000000"/>
          <w:kern w:val="0"/>
          <w:sz w:val="24"/>
        </w:rPr>
        <w:t>篇以上</w:t>
      </w:r>
      <w:r>
        <w:rPr>
          <w:rFonts w:ascii="Arial" w:hAnsi="Arial" w:cs="Arial" w:hint="eastAsia"/>
          <w:color w:val="000000"/>
          <w:kern w:val="0"/>
          <w:sz w:val="24"/>
        </w:rPr>
        <w:t>。</w:t>
      </w:r>
    </w:p>
    <w:p w:rsidR="00501580" w:rsidRDefault="006341D4">
      <w:pPr>
        <w:spacing w:line="360" w:lineRule="auto"/>
        <w:ind w:firstLineChars="150" w:firstLine="36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2</w:t>
      </w:r>
      <w:r>
        <w:rPr>
          <w:rFonts w:ascii="Arial" w:hAnsi="Arial" w:cs="Arial"/>
          <w:color w:val="000000"/>
          <w:kern w:val="0"/>
          <w:sz w:val="24"/>
        </w:rPr>
        <w:t>、</w:t>
      </w:r>
      <w:r>
        <w:rPr>
          <w:rFonts w:ascii="Arial" w:hAnsi="Arial" w:cs="Arial" w:hint="eastAsia"/>
          <w:color w:val="000000"/>
          <w:kern w:val="0"/>
          <w:sz w:val="24"/>
        </w:rPr>
        <w:t>急需博士</w:t>
      </w:r>
    </w:p>
    <w:p w:rsidR="00501580" w:rsidRDefault="006341D4">
      <w:pPr>
        <w:spacing w:line="360" w:lineRule="auto"/>
        <w:ind w:firstLineChars="150" w:firstLine="36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原则上在本学科核心期刊上</w:t>
      </w:r>
      <w:r>
        <w:rPr>
          <w:rFonts w:ascii="Arial" w:hAnsi="Arial" w:cs="Arial"/>
          <w:color w:val="000000"/>
          <w:kern w:val="0"/>
          <w:sz w:val="24"/>
        </w:rPr>
        <w:t>以第一作者身份</w:t>
      </w:r>
      <w:r>
        <w:rPr>
          <w:rFonts w:ascii="Arial" w:hAnsi="Arial" w:cs="Arial" w:hint="eastAsia"/>
          <w:color w:val="000000"/>
          <w:kern w:val="0"/>
          <w:sz w:val="24"/>
        </w:rPr>
        <w:t>或独立发表论文</w:t>
      </w:r>
      <w:r>
        <w:rPr>
          <w:rFonts w:ascii="Arial" w:hAnsi="Arial" w:cs="Arial" w:hint="eastAsia"/>
          <w:color w:val="000000"/>
          <w:kern w:val="0"/>
          <w:sz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</w:rPr>
        <w:t>篇以上，胜任核心课程的讲授任务，具有较强的科研和教学能力。</w:t>
      </w:r>
    </w:p>
    <w:p w:rsidR="00501580" w:rsidRDefault="006341D4">
      <w:pPr>
        <w:jc w:val="center"/>
        <w:rPr>
          <w:b/>
        </w:rPr>
      </w:pPr>
      <w:r>
        <w:rPr>
          <w:rFonts w:hint="eastAsia"/>
          <w:b/>
        </w:rPr>
        <w:t>商学院</w:t>
      </w:r>
      <w:r>
        <w:rPr>
          <w:rFonts w:hint="eastAsia"/>
          <w:b/>
        </w:rPr>
        <w:t>2017</w:t>
      </w:r>
      <w:r>
        <w:rPr>
          <w:rFonts w:hint="eastAsia"/>
          <w:b/>
        </w:rPr>
        <w:t>年博士引进计划</w:t>
      </w:r>
    </w:p>
    <w:tbl>
      <w:tblPr>
        <w:tblW w:w="960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2040"/>
        <w:gridCol w:w="2240"/>
        <w:gridCol w:w="1540"/>
        <w:gridCol w:w="620"/>
        <w:gridCol w:w="3160"/>
      </w:tblGrid>
      <w:tr w:rsidR="00501580">
        <w:trPr>
          <w:trHeight w:val="555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招聘专业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学科方向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</w:tr>
      <w:tr w:rsidR="00501580">
        <w:trPr>
          <w:trHeight w:val="555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不限方向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刘玉来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)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0379--68618399 liuyulailuck@sina.com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梁淑华（办公室）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0379--68618400</w:t>
            </w:r>
          </w:p>
        </w:tc>
      </w:tr>
      <w:tr w:rsidR="00501580">
        <w:trPr>
          <w:trHeight w:val="555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不限方向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580" w:rsidRDefault="00501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01580">
        <w:trPr>
          <w:trHeight w:val="555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不限方向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580" w:rsidRDefault="00501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01580">
        <w:trPr>
          <w:trHeight w:val="555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不限方向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580" w:rsidRDefault="00501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01580">
        <w:trPr>
          <w:trHeight w:val="555"/>
          <w:jc w:val="center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会计学、财务管理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不限方向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580" w:rsidRDefault="00501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501580" w:rsidRDefault="006341D4">
      <w:pPr>
        <w:spacing w:line="360" w:lineRule="auto"/>
        <w:ind w:firstLineChars="200" w:firstLine="562"/>
        <w:rPr>
          <w:rFonts w:ascii="Arial" w:hAnsi="Arial" w:cs="Arial"/>
          <w:b/>
          <w:color w:val="000000"/>
          <w:kern w:val="0"/>
          <w:sz w:val="28"/>
          <w:szCs w:val="28"/>
        </w:rPr>
      </w:pPr>
      <w:r>
        <w:rPr>
          <w:rFonts w:ascii="Arial" w:hAnsi="Arial" w:cs="Arial" w:hint="eastAsia"/>
          <w:b/>
          <w:color w:val="000000"/>
          <w:kern w:val="0"/>
          <w:sz w:val="28"/>
          <w:szCs w:val="28"/>
        </w:rPr>
        <w:t>三、引进高层次人才的待遇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lastRenderedPageBreak/>
        <w:t>（一）两院院士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年薪</w:t>
      </w:r>
      <w:r>
        <w:rPr>
          <w:rFonts w:ascii="Arial" w:hAnsi="Arial" w:cs="Arial" w:hint="eastAsia"/>
          <w:color w:val="000000"/>
          <w:kern w:val="0"/>
          <w:sz w:val="24"/>
        </w:rPr>
        <w:t>200</w:t>
      </w:r>
      <w:r>
        <w:rPr>
          <w:rFonts w:ascii="Arial" w:hAnsi="Arial" w:cs="Arial" w:hint="eastAsia"/>
          <w:color w:val="000000"/>
          <w:kern w:val="0"/>
          <w:sz w:val="24"/>
        </w:rPr>
        <w:t>万元，购房补贴</w:t>
      </w:r>
      <w:r>
        <w:rPr>
          <w:rFonts w:ascii="Arial" w:hAnsi="Arial" w:cs="Arial" w:hint="eastAsia"/>
          <w:color w:val="000000"/>
          <w:kern w:val="0"/>
          <w:sz w:val="24"/>
        </w:rPr>
        <w:t>200</w:t>
      </w:r>
      <w:r>
        <w:rPr>
          <w:rFonts w:ascii="Arial" w:hAnsi="Arial" w:cs="Arial" w:hint="eastAsia"/>
          <w:color w:val="000000"/>
          <w:kern w:val="0"/>
          <w:sz w:val="24"/>
        </w:rPr>
        <w:t>万元，安家费</w:t>
      </w:r>
      <w:r>
        <w:rPr>
          <w:rFonts w:ascii="Arial" w:hAnsi="Arial" w:cs="Arial" w:hint="eastAsia"/>
          <w:color w:val="000000"/>
          <w:kern w:val="0"/>
          <w:sz w:val="24"/>
        </w:rPr>
        <w:t>300</w:t>
      </w:r>
      <w:r>
        <w:rPr>
          <w:rFonts w:ascii="Arial" w:hAnsi="Arial" w:cs="Arial" w:hint="eastAsia"/>
          <w:color w:val="000000"/>
          <w:kern w:val="0"/>
          <w:sz w:val="24"/>
        </w:rPr>
        <w:t>万元，科研启动及实验室建设经费</w:t>
      </w:r>
      <w:r>
        <w:rPr>
          <w:rFonts w:ascii="Arial" w:hAnsi="Arial" w:cs="Arial" w:hint="eastAsia"/>
          <w:color w:val="000000"/>
          <w:kern w:val="0"/>
          <w:sz w:val="24"/>
        </w:rPr>
        <w:t>2000</w:t>
      </w:r>
      <w:r>
        <w:rPr>
          <w:rFonts w:ascii="Arial" w:hAnsi="Arial" w:cs="Arial" w:hint="eastAsia"/>
          <w:color w:val="000000"/>
          <w:kern w:val="0"/>
          <w:sz w:val="24"/>
        </w:rPr>
        <w:t>万元；团队成员待遇面议。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(</w:t>
      </w:r>
      <w:r>
        <w:rPr>
          <w:rFonts w:ascii="Arial" w:hAnsi="Arial" w:cs="Arial" w:hint="eastAsia"/>
          <w:color w:val="000000"/>
          <w:kern w:val="0"/>
          <w:sz w:val="24"/>
        </w:rPr>
        <w:t>二</w:t>
      </w:r>
      <w:r>
        <w:rPr>
          <w:rFonts w:ascii="Arial" w:hAnsi="Arial" w:cs="Arial" w:hint="eastAsia"/>
          <w:color w:val="000000"/>
          <w:kern w:val="0"/>
          <w:sz w:val="24"/>
        </w:rPr>
        <w:t>)</w:t>
      </w:r>
      <w:r>
        <w:rPr>
          <w:rFonts w:ascii="Arial" w:hAnsi="Arial" w:cs="Arial" w:hint="eastAsia"/>
          <w:color w:val="000000"/>
          <w:kern w:val="0"/>
          <w:sz w:val="24"/>
        </w:rPr>
        <w:t>“新世纪百千万人才工程”国家级人选、“长江学者奖励计划”人选、“千人计划”人选、国家杰出青年、优秀青年科学基金项目获得者。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年薪</w:t>
      </w:r>
      <w:r>
        <w:rPr>
          <w:rFonts w:ascii="Arial" w:hAnsi="Arial" w:cs="Arial" w:hint="eastAsia"/>
          <w:color w:val="000000"/>
          <w:kern w:val="0"/>
          <w:sz w:val="24"/>
        </w:rPr>
        <w:t>100</w:t>
      </w:r>
      <w:r>
        <w:rPr>
          <w:rFonts w:ascii="Arial" w:hAnsi="Arial" w:cs="Arial" w:hint="eastAsia"/>
          <w:color w:val="000000"/>
          <w:kern w:val="0"/>
          <w:sz w:val="24"/>
        </w:rPr>
        <w:t>万元，购房补贴</w:t>
      </w:r>
      <w:r>
        <w:rPr>
          <w:rFonts w:ascii="Arial" w:hAnsi="Arial" w:cs="Arial" w:hint="eastAsia"/>
          <w:color w:val="000000"/>
          <w:kern w:val="0"/>
          <w:sz w:val="24"/>
        </w:rPr>
        <w:t>200</w:t>
      </w:r>
      <w:r>
        <w:rPr>
          <w:rFonts w:ascii="Arial" w:hAnsi="Arial" w:cs="Arial" w:hint="eastAsia"/>
          <w:color w:val="000000"/>
          <w:kern w:val="0"/>
          <w:sz w:val="24"/>
        </w:rPr>
        <w:t>万元，安家费</w:t>
      </w:r>
      <w:r>
        <w:rPr>
          <w:rFonts w:ascii="Arial" w:hAnsi="Arial" w:cs="Arial" w:hint="eastAsia"/>
          <w:color w:val="000000"/>
          <w:kern w:val="0"/>
          <w:sz w:val="24"/>
        </w:rPr>
        <w:t>300</w:t>
      </w:r>
      <w:r>
        <w:rPr>
          <w:rFonts w:ascii="Arial" w:hAnsi="Arial" w:cs="Arial" w:hint="eastAsia"/>
          <w:color w:val="000000"/>
          <w:kern w:val="0"/>
          <w:sz w:val="24"/>
        </w:rPr>
        <w:t>万元，科研启动及实验室建设经费</w:t>
      </w:r>
      <w:r>
        <w:rPr>
          <w:rFonts w:ascii="Arial" w:hAnsi="Arial" w:cs="Arial" w:hint="eastAsia"/>
          <w:color w:val="000000"/>
          <w:kern w:val="0"/>
          <w:sz w:val="24"/>
        </w:rPr>
        <w:t>1000</w:t>
      </w:r>
      <w:r>
        <w:rPr>
          <w:rFonts w:ascii="Arial" w:hAnsi="Arial" w:cs="Arial" w:hint="eastAsia"/>
          <w:color w:val="000000"/>
          <w:kern w:val="0"/>
          <w:sz w:val="24"/>
        </w:rPr>
        <w:t>万元；团队成员待遇面议。</w:t>
      </w:r>
    </w:p>
    <w:p w:rsidR="00501580" w:rsidRDefault="006341D4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（三）学科带头人</w:t>
      </w:r>
    </w:p>
    <w:p w:rsidR="00501580" w:rsidRDefault="00501580">
      <w:pPr>
        <w:spacing w:line="240" w:lineRule="exact"/>
        <w:ind w:firstLineChars="200" w:firstLine="640"/>
        <w:rPr>
          <w:rFonts w:ascii="宋体" w:hAnsi="宋体"/>
          <w:sz w:val="32"/>
          <w:szCs w:val="32"/>
        </w:rPr>
      </w:pPr>
    </w:p>
    <w:tbl>
      <w:tblPr>
        <w:tblW w:w="6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1574"/>
        <w:gridCol w:w="1977"/>
      </w:tblGrid>
      <w:tr w:rsidR="00501580">
        <w:trPr>
          <w:trHeight w:val="1099"/>
          <w:jc w:val="center"/>
        </w:trPr>
        <w:tc>
          <w:tcPr>
            <w:tcW w:w="2851" w:type="dxa"/>
            <w:vAlign w:val="center"/>
          </w:tcPr>
          <w:p w:rsidR="00501580" w:rsidRDefault="006341D4">
            <w:pPr>
              <w:ind w:firstLineChars="98" w:firstLine="23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购房补贴</w:t>
            </w:r>
          </w:p>
          <w:p w:rsidR="00501580" w:rsidRDefault="006341D4">
            <w:pPr>
              <w:ind w:firstLineChars="100" w:firstLine="24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1574" w:type="dxa"/>
            <w:vAlign w:val="center"/>
          </w:tcPr>
          <w:p w:rsidR="00501580" w:rsidRDefault="006341D4">
            <w:pPr>
              <w:ind w:firstLineChars="98" w:firstLine="23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安家费</w:t>
            </w:r>
          </w:p>
          <w:p w:rsidR="00501580" w:rsidRDefault="006341D4">
            <w:pPr>
              <w:ind w:firstLineChars="98" w:firstLine="23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1977" w:type="dxa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科研启动费</w:t>
            </w:r>
          </w:p>
          <w:p w:rsidR="00501580" w:rsidRDefault="006341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</w:tr>
      <w:tr w:rsidR="00501580">
        <w:trPr>
          <w:trHeight w:val="435"/>
          <w:jc w:val="center"/>
        </w:trPr>
        <w:tc>
          <w:tcPr>
            <w:tcW w:w="2851" w:type="dxa"/>
            <w:vAlign w:val="center"/>
          </w:tcPr>
          <w:p w:rsidR="00501580" w:rsidRDefault="006341D4">
            <w:pPr>
              <w:spacing w:line="240" w:lineRule="exact"/>
              <w:ind w:leftChars="-40" w:left="-84" w:rightChars="-39" w:right="-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574" w:type="dxa"/>
            <w:vAlign w:val="center"/>
          </w:tcPr>
          <w:p w:rsidR="00501580" w:rsidRDefault="006341D4">
            <w:pPr>
              <w:widowControl/>
              <w:spacing w:line="240" w:lineRule="exact"/>
              <w:ind w:leftChars="-40" w:left="-84" w:rightChars="-39" w:right="-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977" w:type="dxa"/>
            <w:vAlign w:val="center"/>
          </w:tcPr>
          <w:p w:rsidR="00501580" w:rsidRDefault="006341D4">
            <w:pPr>
              <w:widowControl/>
              <w:spacing w:line="240" w:lineRule="exact"/>
              <w:ind w:rightChars="-39" w:right="-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</w:tbl>
    <w:p w:rsidR="00501580" w:rsidRDefault="00501580">
      <w:pPr>
        <w:spacing w:line="240" w:lineRule="exact"/>
        <w:rPr>
          <w:rFonts w:ascii="宋体" w:hAnsi="宋体"/>
          <w:sz w:val="32"/>
          <w:szCs w:val="32"/>
        </w:rPr>
      </w:pP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）服务期为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年，安家费来校当年首付</w:t>
      </w:r>
      <w:r>
        <w:rPr>
          <w:rFonts w:ascii="宋体" w:hAnsi="宋体" w:hint="eastAsia"/>
          <w:szCs w:val="21"/>
        </w:rPr>
        <w:t>30</w:t>
      </w:r>
      <w:r>
        <w:rPr>
          <w:rFonts w:ascii="宋体" w:hAnsi="宋体" w:hint="eastAsia"/>
          <w:szCs w:val="21"/>
        </w:rPr>
        <w:t>万元，剩余款项服务期内每年发放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万元。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）学校按照每月</w:t>
      </w:r>
      <w:r>
        <w:rPr>
          <w:rFonts w:ascii="宋体" w:hAnsi="宋体" w:hint="eastAsia"/>
          <w:szCs w:val="21"/>
        </w:rPr>
        <w:t>1500</w:t>
      </w:r>
      <w:r>
        <w:rPr>
          <w:rFonts w:ascii="宋体" w:hAnsi="宋体" w:hint="eastAsia"/>
          <w:szCs w:val="21"/>
        </w:rPr>
        <w:t>元标准为本人发放租房补贴，发放时间为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年。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）购房补贴凭在洛阳市区购房行为发放，需有交房款项证明等材料作为支撑，发放的数额必须有足够的房款票据为依据，分三次发放，第一次发放</w:t>
      </w:r>
      <w:r>
        <w:rPr>
          <w:rFonts w:ascii="宋体" w:hAnsi="宋体" w:hint="eastAsia"/>
          <w:szCs w:val="21"/>
        </w:rPr>
        <w:t>70%</w:t>
      </w:r>
      <w:r>
        <w:rPr>
          <w:rFonts w:ascii="宋体" w:hAnsi="宋体" w:hint="eastAsia"/>
          <w:szCs w:val="21"/>
        </w:rPr>
        <w:t>，其余两次（第二次发放</w:t>
      </w:r>
      <w:r>
        <w:rPr>
          <w:rFonts w:ascii="宋体" w:hAnsi="宋体" w:hint="eastAsia"/>
          <w:szCs w:val="21"/>
        </w:rPr>
        <w:t>15%</w:t>
      </w:r>
      <w:r>
        <w:rPr>
          <w:rFonts w:ascii="宋体" w:hAnsi="宋体" w:hint="eastAsia"/>
          <w:szCs w:val="21"/>
        </w:rPr>
        <w:t>，第三次发放</w:t>
      </w:r>
      <w:r>
        <w:rPr>
          <w:rFonts w:ascii="宋体" w:hAnsi="宋体" w:hint="eastAsia"/>
          <w:szCs w:val="21"/>
        </w:rPr>
        <w:t>15%</w:t>
      </w:r>
      <w:r>
        <w:rPr>
          <w:rFonts w:ascii="宋体" w:hAnsi="宋体" w:hint="eastAsia"/>
          <w:szCs w:val="21"/>
        </w:rPr>
        <w:t>）根据考核结果发放。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）配备笔记本电脑一台。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）以人事代理方式解决配偶工作，帮助解决子女入学（小学、初中）问题。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）来校工作后，学术成果达到有关要求的</w:t>
      </w:r>
      <w:r>
        <w:rPr>
          <w:rFonts w:ascii="宋体" w:hAnsi="宋体" w:hint="eastAsia"/>
          <w:szCs w:val="21"/>
        </w:rPr>
        <w:t>，按照《洛阳师范学院科研成果奖励办法》，享受相应科研奖励。</w:t>
      </w:r>
    </w:p>
    <w:p w:rsidR="00501580" w:rsidRDefault="006341D4">
      <w:pPr>
        <w:spacing w:line="6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（四）博士</w:t>
      </w:r>
    </w:p>
    <w:tbl>
      <w:tblPr>
        <w:tblW w:w="7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1"/>
        <w:gridCol w:w="1403"/>
        <w:gridCol w:w="1117"/>
        <w:gridCol w:w="2145"/>
      </w:tblGrid>
      <w:tr w:rsidR="00501580">
        <w:trPr>
          <w:trHeight w:val="936"/>
          <w:jc w:val="center"/>
        </w:trPr>
        <w:tc>
          <w:tcPr>
            <w:tcW w:w="2861" w:type="dxa"/>
            <w:tcBorders>
              <w:tl2br w:val="single" w:sz="4" w:space="0" w:color="auto"/>
            </w:tcBorders>
            <w:vAlign w:val="center"/>
          </w:tcPr>
          <w:p w:rsidR="00501580" w:rsidRDefault="006341D4">
            <w:pPr>
              <w:widowControl/>
              <w:spacing w:line="240" w:lineRule="exact"/>
              <w:ind w:leftChars="-40" w:left="-84" w:rightChars="-39" w:right="-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待遇</w:t>
            </w:r>
          </w:p>
          <w:p w:rsidR="00501580" w:rsidRDefault="006341D4">
            <w:pPr>
              <w:spacing w:line="240" w:lineRule="exact"/>
              <w:ind w:leftChars="-40" w:left="-84" w:rightChars="-39" w:right="-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人员</w:t>
            </w:r>
          </w:p>
        </w:tc>
        <w:tc>
          <w:tcPr>
            <w:tcW w:w="1403" w:type="dxa"/>
          </w:tcPr>
          <w:p w:rsidR="00501580" w:rsidRDefault="00501580">
            <w:pPr>
              <w:ind w:firstLineChars="98" w:firstLine="236"/>
              <w:rPr>
                <w:rFonts w:ascii="宋体" w:hAnsi="宋体"/>
                <w:b/>
                <w:sz w:val="24"/>
              </w:rPr>
            </w:pPr>
          </w:p>
          <w:p w:rsidR="00501580" w:rsidRDefault="006341D4">
            <w:pPr>
              <w:ind w:firstLineChars="49" w:firstLine="11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购房补贴</w:t>
            </w:r>
          </w:p>
          <w:p w:rsidR="00501580" w:rsidRDefault="006341D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1117" w:type="dxa"/>
            <w:vAlign w:val="center"/>
          </w:tcPr>
          <w:p w:rsidR="00501580" w:rsidRDefault="00501580">
            <w:pPr>
              <w:spacing w:line="240" w:lineRule="exact"/>
              <w:ind w:rightChars="-39" w:right="-82"/>
              <w:rPr>
                <w:rFonts w:ascii="宋体" w:hAnsi="宋体"/>
                <w:b/>
                <w:sz w:val="24"/>
              </w:rPr>
            </w:pPr>
          </w:p>
          <w:p w:rsidR="00501580" w:rsidRDefault="006341D4">
            <w:pPr>
              <w:spacing w:line="240" w:lineRule="exact"/>
              <w:ind w:rightChars="-39" w:right="-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安家费</w:t>
            </w:r>
          </w:p>
          <w:p w:rsidR="00501580" w:rsidRDefault="006341D4">
            <w:pPr>
              <w:spacing w:line="240" w:lineRule="exact"/>
              <w:ind w:leftChars="-40" w:left="-84" w:rightChars="-39" w:right="-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2145" w:type="dxa"/>
            <w:vAlign w:val="center"/>
          </w:tcPr>
          <w:p w:rsidR="00501580" w:rsidRDefault="006341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科研启动费（万元）</w:t>
            </w:r>
          </w:p>
        </w:tc>
      </w:tr>
      <w:tr w:rsidR="00501580">
        <w:trPr>
          <w:trHeight w:val="541"/>
          <w:jc w:val="center"/>
        </w:trPr>
        <w:tc>
          <w:tcPr>
            <w:tcW w:w="2861" w:type="dxa"/>
            <w:vAlign w:val="center"/>
          </w:tcPr>
          <w:p w:rsidR="00501580" w:rsidRDefault="006341D4">
            <w:pPr>
              <w:widowControl/>
              <w:spacing w:line="240" w:lineRule="exact"/>
              <w:ind w:leftChars="-40" w:left="-84" w:rightChars="-39" w:right="-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优秀博士</w:t>
            </w:r>
          </w:p>
        </w:tc>
        <w:tc>
          <w:tcPr>
            <w:tcW w:w="1403" w:type="dxa"/>
            <w:vAlign w:val="center"/>
          </w:tcPr>
          <w:p w:rsidR="00501580" w:rsidRDefault="006341D4">
            <w:pPr>
              <w:spacing w:line="240" w:lineRule="exact"/>
              <w:ind w:leftChars="-40" w:left="-84" w:rightChars="-39" w:right="-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117" w:type="dxa"/>
            <w:vAlign w:val="center"/>
          </w:tcPr>
          <w:p w:rsidR="00501580" w:rsidRDefault="006341D4">
            <w:pPr>
              <w:widowControl/>
              <w:spacing w:line="240" w:lineRule="exact"/>
              <w:ind w:leftChars="-40" w:left="-84" w:rightChars="-39" w:right="-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2145" w:type="dxa"/>
            <w:vAlign w:val="center"/>
          </w:tcPr>
          <w:p w:rsidR="00501580" w:rsidRDefault="006341D4">
            <w:pPr>
              <w:widowControl/>
              <w:spacing w:line="240" w:lineRule="exact"/>
              <w:ind w:rightChars="-39" w:right="-82"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</w:tr>
      <w:tr w:rsidR="00501580">
        <w:trPr>
          <w:trHeight w:val="548"/>
          <w:jc w:val="center"/>
        </w:trPr>
        <w:tc>
          <w:tcPr>
            <w:tcW w:w="2861" w:type="dxa"/>
            <w:vAlign w:val="center"/>
          </w:tcPr>
          <w:p w:rsidR="00501580" w:rsidRDefault="006341D4">
            <w:pPr>
              <w:widowControl/>
              <w:spacing w:line="240" w:lineRule="exact"/>
              <w:ind w:rightChars="-39" w:right="-82"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急需博士</w:t>
            </w:r>
          </w:p>
        </w:tc>
        <w:tc>
          <w:tcPr>
            <w:tcW w:w="1403" w:type="dxa"/>
            <w:vAlign w:val="center"/>
          </w:tcPr>
          <w:p w:rsidR="00501580" w:rsidRDefault="006341D4">
            <w:pPr>
              <w:spacing w:line="240" w:lineRule="exact"/>
              <w:ind w:leftChars="-40" w:left="-84" w:rightChars="-39" w:right="-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117" w:type="dxa"/>
            <w:vAlign w:val="center"/>
          </w:tcPr>
          <w:p w:rsidR="00501580" w:rsidRDefault="006341D4">
            <w:pPr>
              <w:widowControl/>
              <w:spacing w:line="240" w:lineRule="exact"/>
              <w:ind w:leftChars="-40" w:left="-84" w:rightChars="-39" w:right="-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145" w:type="dxa"/>
            <w:vAlign w:val="center"/>
          </w:tcPr>
          <w:p w:rsidR="00501580" w:rsidRDefault="006341D4">
            <w:pPr>
              <w:widowControl/>
              <w:spacing w:line="240" w:lineRule="exact"/>
              <w:ind w:rightChars="-39" w:right="-82"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</w:tr>
    </w:tbl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）服务期均为</w:t>
      </w: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年，优秀博士安家费来校当年首付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万元，剩余款项服务期内每年发放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万元；急需博士安家费来校当年首付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万元，剩余款项服务期内每年发放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万元。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）学校按照每月</w:t>
      </w:r>
      <w:r>
        <w:rPr>
          <w:rFonts w:ascii="宋体" w:hAnsi="宋体" w:hint="eastAsia"/>
          <w:szCs w:val="21"/>
        </w:rPr>
        <w:t>1500</w:t>
      </w:r>
      <w:r>
        <w:rPr>
          <w:rFonts w:ascii="宋体" w:hAnsi="宋体" w:hint="eastAsia"/>
          <w:szCs w:val="21"/>
        </w:rPr>
        <w:t>元标准为本人发放租房补贴，发放时间为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年。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）购房补贴凭在洛阳市区购房行为发放，需有交房款项证明等材料作为支撑，发放的数额必须有足够的房款票据为依据，优秀博士和急需博士分三次发放，第一次发放</w:t>
      </w:r>
      <w:r>
        <w:rPr>
          <w:rFonts w:ascii="宋体" w:hAnsi="宋体" w:hint="eastAsia"/>
          <w:szCs w:val="21"/>
        </w:rPr>
        <w:t>60%</w:t>
      </w:r>
      <w:r>
        <w:rPr>
          <w:rFonts w:ascii="宋体" w:hAnsi="宋体" w:hint="eastAsia"/>
          <w:szCs w:val="21"/>
        </w:rPr>
        <w:t>，其余两次（第二次发放</w:t>
      </w:r>
      <w:r>
        <w:rPr>
          <w:rFonts w:ascii="宋体" w:hAnsi="宋体" w:hint="eastAsia"/>
          <w:szCs w:val="21"/>
        </w:rPr>
        <w:t>20%</w:t>
      </w:r>
      <w:r>
        <w:rPr>
          <w:rFonts w:ascii="宋体" w:hAnsi="宋体" w:hint="eastAsia"/>
          <w:szCs w:val="21"/>
        </w:rPr>
        <w:t>，第三次发放</w:t>
      </w:r>
      <w:r>
        <w:rPr>
          <w:rFonts w:ascii="宋体" w:hAnsi="宋体" w:hint="eastAsia"/>
          <w:szCs w:val="21"/>
        </w:rPr>
        <w:t>20%</w:t>
      </w:r>
      <w:r>
        <w:rPr>
          <w:rFonts w:ascii="宋体" w:hAnsi="宋体" w:hint="eastAsia"/>
          <w:szCs w:val="21"/>
        </w:rPr>
        <w:t>）根据考核结果发放。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）配备笔记本电脑一台。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）帮助解决子女入学（小学、初中）问题。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）配偶为毕业全日制硕士研究生的，以人事代理方式安排工作。</w:t>
      </w:r>
    </w:p>
    <w:p w:rsidR="00501580" w:rsidRDefault="006341D4">
      <w:pPr>
        <w:spacing w:line="2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）来校工作后，学术成果达到有关要求的，按照《洛阳师范学院科研成果奖励办法》享受相应科研奖励。</w:t>
      </w:r>
    </w:p>
    <w:p w:rsidR="00501580" w:rsidRDefault="006341D4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四、应聘者需准备的相关资料</w:t>
      </w:r>
    </w:p>
    <w:p w:rsidR="00501580" w:rsidRDefault="006341D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应聘者请将简历直接发至</w:t>
      </w:r>
      <w:r>
        <w:rPr>
          <w:sz w:val="24"/>
        </w:rPr>
        <w:t xml:space="preserve"> </w:t>
      </w:r>
      <w:hyperlink r:id="rId7" w:history="1">
        <w:r>
          <w:rPr>
            <w:rStyle w:val="a5"/>
            <w:sz w:val="24"/>
          </w:rPr>
          <w:t>liuyulailuck@sina.com</w:t>
        </w:r>
        <w:r>
          <w:rPr>
            <w:rStyle w:val="a5"/>
            <w:rFonts w:hint="eastAsia"/>
            <w:sz w:val="24"/>
          </w:rPr>
          <w:t>抄送</w:t>
        </w:r>
      </w:hyperlink>
      <w:r>
        <w:rPr>
          <w:rFonts w:hint="eastAsia"/>
          <w:sz w:val="24"/>
        </w:rPr>
        <w:t xml:space="preserve"> lysxyzp@126.com</w:t>
      </w:r>
      <w:r>
        <w:rPr>
          <w:rFonts w:hint="eastAsia"/>
          <w:sz w:val="24"/>
        </w:rPr>
        <w:t>，按相应条件须提供：个人基本情况（</w:t>
      </w:r>
      <w:proofErr w:type="gramStart"/>
      <w:r>
        <w:rPr>
          <w:rFonts w:hint="eastAsia"/>
          <w:sz w:val="24"/>
        </w:rPr>
        <w:t>含学习</w:t>
      </w:r>
      <w:proofErr w:type="gramEnd"/>
      <w:r>
        <w:rPr>
          <w:rFonts w:hint="eastAsia"/>
          <w:sz w:val="24"/>
        </w:rPr>
        <w:t>及工作简历）；学历（位）证书原件和复印件；科研成果和荣誉证书；配偶及子女的基本情况；根据具体情况需要提供的其它材料。</w:t>
      </w:r>
    </w:p>
    <w:p w:rsidR="00501580" w:rsidRDefault="006341D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E-mail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  <w:hyperlink r:id="rId8" w:history="1">
        <w:r>
          <w:rPr>
            <w:rStyle w:val="a5"/>
            <w:sz w:val="24"/>
          </w:rPr>
          <w:t>liuyulailuck@sina.com</w:t>
        </w:r>
        <w:r>
          <w:rPr>
            <w:rStyle w:val="a5"/>
            <w:rFonts w:hint="eastAsia"/>
            <w:sz w:val="24"/>
          </w:rPr>
          <w:t>抄送</w:t>
        </w:r>
      </w:hyperlink>
      <w:r>
        <w:rPr>
          <w:rFonts w:hint="eastAsia"/>
          <w:sz w:val="24"/>
        </w:rPr>
        <w:t xml:space="preserve"> lysxyzp@126.com </w:t>
      </w:r>
      <w:r>
        <w:rPr>
          <w:rFonts w:hint="eastAsia"/>
          <w:sz w:val="24"/>
        </w:rPr>
        <w:t>主题格式：</w:t>
      </w:r>
      <w:r>
        <w:rPr>
          <w:rFonts w:hint="eastAsia"/>
          <w:sz w:val="24"/>
        </w:rPr>
        <w:t>高层次人才网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专业方向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学位名称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学校名称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姓名。</w:t>
      </w:r>
    </w:p>
    <w:p w:rsidR="00501580" w:rsidRDefault="006341D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联系人及联系电话：</w:t>
      </w:r>
      <w:r>
        <w:rPr>
          <w:rFonts w:hint="eastAsia"/>
          <w:sz w:val="24"/>
        </w:rPr>
        <w:t>0379-68618399</w:t>
      </w:r>
      <w:r>
        <w:rPr>
          <w:rFonts w:hint="eastAsia"/>
          <w:sz w:val="24"/>
        </w:rPr>
        <w:t>（刘玉来院长）、</w:t>
      </w:r>
      <w:r>
        <w:rPr>
          <w:rFonts w:hint="eastAsia"/>
          <w:sz w:val="24"/>
        </w:rPr>
        <w:t>68618400</w:t>
      </w:r>
      <w:r>
        <w:rPr>
          <w:rFonts w:hint="eastAsia"/>
          <w:sz w:val="24"/>
        </w:rPr>
        <w:t>（梁淑华老师）</w:t>
      </w:r>
    </w:p>
    <w:p w:rsidR="00501580" w:rsidRDefault="00501580"/>
    <w:tbl>
      <w:tblPr>
        <w:tblW w:w="106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490"/>
        <w:gridCol w:w="1695"/>
        <w:gridCol w:w="690"/>
        <w:gridCol w:w="3510"/>
      </w:tblGrid>
      <w:tr w:rsidR="00501580">
        <w:trPr>
          <w:trHeight w:val="285"/>
        </w:trPr>
        <w:tc>
          <w:tcPr>
            <w:tcW w:w="1065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洛阳师范学院商学院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2017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年高层次人才引进计划汇总表</w:t>
            </w:r>
          </w:p>
        </w:tc>
      </w:tr>
      <w:tr w:rsidR="00501580">
        <w:trPr>
          <w:trHeight w:val="28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lastRenderedPageBreak/>
              <w:t>招聘专业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学科方向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学历层次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招聘计划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联系方式</w:t>
            </w:r>
          </w:p>
        </w:tc>
      </w:tr>
      <w:tr w:rsidR="00501580">
        <w:trPr>
          <w:trHeight w:val="28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不限方向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刘玉来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院长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)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0379--68618399 liuyulailuck@sina.com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梁淑华（办公室）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0379--68618400</w:t>
            </w:r>
          </w:p>
        </w:tc>
      </w:tr>
      <w:tr w:rsidR="00501580">
        <w:trPr>
          <w:trHeight w:val="28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不限方向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5015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01580">
        <w:trPr>
          <w:trHeight w:val="28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不限方向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5015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01580">
        <w:trPr>
          <w:trHeight w:val="28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不限方向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5015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01580">
        <w:trPr>
          <w:trHeight w:val="28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会计学、财务管理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不限方向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634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580" w:rsidRDefault="0050158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01580" w:rsidRDefault="00501580"/>
    <w:sectPr w:rsidR="005015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EA"/>
    <w:rsid w:val="001E383A"/>
    <w:rsid w:val="003C072A"/>
    <w:rsid w:val="003E22C6"/>
    <w:rsid w:val="004930E2"/>
    <w:rsid w:val="004F5215"/>
    <w:rsid w:val="00501580"/>
    <w:rsid w:val="006341D4"/>
    <w:rsid w:val="00690AC0"/>
    <w:rsid w:val="006A64A8"/>
    <w:rsid w:val="006F187C"/>
    <w:rsid w:val="006F1F91"/>
    <w:rsid w:val="007376BC"/>
    <w:rsid w:val="00740722"/>
    <w:rsid w:val="007E22A4"/>
    <w:rsid w:val="008559C7"/>
    <w:rsid w:val="008A27A5"/>
    <w:rsid w:val="00915F63"/>
    <w:rsid w:val="00946685"/>
    <w:rsid w:val="009D530B"/>
    <w:rsid w:val="00AA60A4"/>
    <w:rsid w:val="00AC7103"/>
    <w:rsid w:val="00AE2C8E"/>
    <w:rsid w:val="00B97970"/>
    <w:rsid w:val="00BC720C"/>
    <w:rsid w:val="00D864A6"/>
    <w:rsid w:val="00DD2C59"/>
    <w:rsid w:val="00EC0DC1"/>
    <w:rsid w:val="00EC2DEE"/>
    <w:rsid w:val="00ED7A8E"/>
    <w:rsid w:val="00F855E6"/>
    <w:rsid w:val="00FD39EA"/>
    <w:rsid w:val="00FF04FC"/>
    <w:rsid w:val="00FF1574"/>
    <w:rsid w:val="0D2B64E0"/>
    <w:rsid w:val="21F03A7A"/>
    <w:rsid w:val="22116938"/>
    <w:rsid w:val="618C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yulailuck@sina.com&#25220;&#36865;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uyulailuck@sina.com&#25220;&#3686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ynu.edu.c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梁淑华</dc:creator>
  <cp:lastModifiedBy>SHOU</cp:lastModifiedBy>
  <cp:revision>2</cp:revision>
  <dcterms:created xsi:type="dcterms:W3CDTF">2017-03-21T02:45:00Z</dcterms:created>
  <dcterms:modified xsi:type="dcterms:W3CDTF">2017-03-21T02:45:00Z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