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2048" w:firstLineChars="600"/>
        <w:rPr>
          <w:rFonts w:hint="eastAsia"/>
          <w:b/>
          <w:bCs/>
          <w:color w:val="000000"/>
          <w:sz w:val="34"/>
          <w:szCs w:val="34"/>
        </w:rPr>
      </w:pPr>
      <w:r>
        <w:rPr>
          <w:rFonts w:hint="eastAsia"/>
          <w:b/>
          <w:bCs/>
          <w:color w:val="000000"/>
          <w:sz w:val="34"/>
          <w:szCs w:val="34"/>
        </w:rPr>
        <w:t>铜陵学院2017年诚聘英才</w:t>
      </w:r>
    </w:p>
    <w:p>
      <w:pPr>
        <w:widowControl/>
        <w:snapToGrid w:val="0"/>
        <w:spacing w:line="360" w:lineRule="auto"/>
        <w:ind w:firstLine="0"/>
        <w:rPr>
          <w:rFonts w:ascii="宋体" w:hAnsi="宋体" w:eastAsia="宋体" w:cs="宋体"/>
          <w:kern w:val="0"/>
          <w:szCs w:val="21"/>
        </w:rPr>
      </w:pPr>
      <w:r>
        <w:rPr>
          <w:rFonts w:ascii="宋体" w:hAnsi="宋体" w:eastAsia="宋体" w:cs="宋体"/>
          <w:b/>
          <w:bCs/>
          <w:kern w:val="0"/>
          <w:sz w:val="36"/>
        </w:rPr>
        <w:t>学校概况</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铜陵学院坐落于素有“中国古铜都”之称的安徽省铜陵市，迄今已有50多年办学历史。2002年3月，经教育部批准，由铜陵财经专科学校升格为铜陵学院。现为安徽省示范应用型本科院校、安徽省地方应用型高水平大学立项建设单位。</w:t>
      </w:r>
      <w:r>
        <w:rPr>
          <w:rFonts w:ascii="宋体" w:hAnsi="宋体" w:eastAsia="宋体" w:cs="宋体"/>
          <w:kern w:val="0"/>
          <w:szCs w:val="21"/>
        </w:rPr>
        <w:t xml:space="preserve"> </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学校现有翠湖、育秀两个校区，校园占地面积1310亩（约873630平方米），各类校舍面积42万平方米，教学科研仪器设备总值1亿多元，图书馆馆藏纸质图书120万册，中外文期刊1500余种。现有教职工881人，其中专任教师744人，副高以上职称教师220人，具有博士、硕士学位教师591人，外聘教师200余人。全日制本科在校生18033人，成人教育在籍生1800多人。</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学校现有会计学院、工商管理学院、财税与公共管理学院、金融学院、经济学院、外国语学院、文学与艺术传媒学院、法学院、数学与计算机学院、电气工程学院、机械工程学院、建筑工程学院等12个学院，另设有创新创业学院、马克思主义学院（思想政治理论课教学研究部）、体育教学部、继续教育学院等教学机构。现有56个本科专业（含2个中外合作办学专业、1个第二学士学位专业），涵盖经济学、管理学、工学、文学、理学、艺术学、法学等7大学科门类。</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学校是安徽省财经类人才培养、培训的重要基地，形成了一定的财经教育办学特色。拥有会计学、国际经济与贸易2个国家级特色专业，财务管理专业成为国家第一批本科专业综合改革试点项目，“铜陵学院与铜陵化学工业集团有限公司管理学实践教育基地”获批为“国家级大学生校外实践教育基地”项目。此外，学校还是国家级大学生创新创业训练计划项目实施高校。</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学校坚持以服务教学、服务地方、服务生产建设一线为主的应用性科学研究方向，鼓励教师结合教学搞科研，结合产业搞科研，结合行业搞科研，引导教师把科研成果转化为教学内容，推进高水平科学研究支撑应用型人才培养改革。注重彰显学校的科研特色，建有安徽省人文社科重点研究基地皖江经济发展研究中心，以及光电子应用安徽省工程技术研究中心、铜文化发展研究中心等16个科研机构。编辑出版学术刊物《铜陵学院学报》。</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近年来，学校围绕建设地方应用型高水平大学的目标，坚持走内涵发展、开放办学、产教融合、合作育人之路，不断创新教育思想观念，深化教育教学改革。学校在安徽省较早提出培养应用型人才、建设应用型高校的办学思路，在应用型人才培养的理论探索和实践方面，走在全省同类高校的前列。2008年12月，学校发起创立了“安徽省应用型本科高校联盟”，担任首任轮值主席单位。2009年，获批为安徽省示范应用型本科院校立项建设单位。2013年，通过省示范应用型本科院校项目验收。2015年，获批为安徽省地方应用型高水平大学立项建设单位。</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学校坚持主动贴近、主动融入、主动服务地方经济社会发展，以与地方共建“四个中心”（地方人才培养和人力资源培训中心、地方产学研合作中心、地方政府决策咨询中心、地方教育文化中心）为平台，共建“四个基地”（实习实训基地、毕业生就业基地、教学基地和研究基地）为依托，深入推进校地、校企、校校合作，初步形成了校地、校企互利共赢、共生共育、共同发展的局面。</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为适应高等教育国际化需要，学校积极开展对外交流与合作，先后与美国、英国、法国、爱尔兰、韩国、阿根廷等国家和台湾地区10余所高校建立交流与合作关系。2005年，学校与阿根廷布宜诺斯艾利斯大学联合成立了“安徽省西班牙语培训中心”，2012年，与韩国又松大学联合开展了“2+2”合作办学，并积极推进教师和学生赴境外高校学习交流。</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xml:space="preserve">　　学校招生分数线连续多年持续攀升，稳居安徽省同类院校前列。2015年，学校文、理科最低录取线均超出安徽省二本控制线22分。2016年，学校文、理科最低录取线分别超出安徽省二本控制线21分、23分。毕业生就业率连续7年达到95%以上。 </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学校积极构建以沈浩精神为内核特质的校园文化，先后荣获安徽省文明单位、安徽省普通高校毕业生就业工作标兵单位、安徽省大学生思想政治教育先进集体、安徽省大学生社会实践活动先进集体、安徽省高校教学管理先进单位、安徽省卫生工作先进单位、安徽省绿化模范单位、全国高校后勤十年社会化改革先进单位等荣誉称号。</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w:t>
      </w:r>
    </w:p>
    <w:p>
      <w:pPr>
        <w:widowControl/>
        <w:snapToGrid w:val="0"/>
        <w:spacing w:line="360" w:lineRule="auto"/>
        <w:ind w:firstLine="0"/>
        <w:rPr>
          <w:rFonts w:ascii="宋体" w:hAnsi="宋体" w:eastAsia="宋体" w:cs="宋体"/>
          <w:kern w:val="0"/>
          <w:szCs w:val="21"/>
        </w:rPr>
      </w:pPr>
      <w:r>
        <w:rPr>
          <w:rFonts w:ascii="宋体" w:hAnsi="宋体" w:eastAsia="宋体" w:cs="宋体"/>
          <w:b/>
          <w:bCs/>
          <w:kern w:val="0"/>
          <w:sz w:val="36"/>
        </w:rPr>
        <w:t>基本条件</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1．具有中华人民共和国国籍，遵纪守法。</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2．热爱教育事业，具有较高的业务素质和良好的职业道德。</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3．身心健康，能够坚持在教学、科研等岗位一线工作。</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4. 学历、专业要求：硕士、博士研究生，第一学历要求全日制本科，其中，应聘专任教师人员本科、研究生阶段专业须相同相近。</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5. 年龄要求：</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（1）博士研究生不超过35周岁（1982年1月1日以后出生），其中，对较高水平博士或具有博士学位的副教授，年龄可放宽至40周岁（1977年1月1日以后出生）（学术成果均须经学校认定）。</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（2）硕士研究生不超过30周岁（1987年1月1日以后出生）。其中，专职辅导员不超过28周岁（1989年1月1日以后出生）。</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6. 2017年7月31日前取得学历学位的全日制普通高校毕业生；取得境外学历学位的人员应提供教育部留学服务中心出具的学历学位认证书（认证书截止时间为2017年12月31日）。</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7. 满足我校人员招聘计划中相关岗位要求的其他条件。</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Cs w:val="21"/>
        </w:rPr>
        <w:t> </w:t>
      </w:r>
    </w:p>
    <w:p>
      <w:pPr>
        <w:widowControl/>
        <w:snapToGrid w:val="0"/>
        <w:spacing w:line="360" w:lineRule="auto"/>
        <w:ind w:firstLine="0"/>
        <w:rPr>
          <w:rFonts w:ascii="宋体" w:hAnsi="宋体" w:eastAsia="宋体" w:cs="宋体"/>
          <w:kern w:val="0"/>
          <w:szCs w:val="21"/>
        </w:rPr>
      </w:pPr>
      <w:r>
        <w:rPr>
          <w:rFonts w:ascii="宋体" w:hAnsi="宋体" w:eastAsia="宋体" w:cs="宋体"/>
          <w:b/>
          <w:bCs/>
          <w:kern w:val="0"/>
          <w:sz w:val="36"/>
        </w:rPr>
        <w:t>相关待遇</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（一）博士</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1.购房补贴：资助购房补贴35万元（税前，报到并提交博士学历学位证书后，发放50%，余下部分在后5年内按比例分别发放），一次性资助安家费10万元（税前，博士报到手续完成后支付）。其中，较高水平博士或具有博士学位的副教授，资助购房补贴40万元（税前，支付方式同上），一次性资助安家费10万元（税前，支付方式同上）。</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2.科研启动经费：文科类5万元，理工类8万元。其中，较高水平博士或具有博士学位的副教授，文科类8万元，理工类10万元。</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3. 博士在三年内比照副教授标准享受工资待遇，享受校内博士特殊津贴。</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4. 根据其个人意愿配备电脑或发放电脑补助0.5万元。</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5. 符合学校相关条件的配偶安排工作。</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6. 纳入事业编制引进。</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二）引进两院院士、国内外知名学者、国家重大项目负责人、国家级与省部级重要人才平台入选者、国家级重要奖项获得者、其他具有较高学术水平及丰富业绩成果的教授（研究员）等高层次人才不受招聘时间限制，随时办理调动或聘用手续，也可不办理工作调动手续，定期或不定期来校从事教学、科研等工作，学校提供住宿、办公和实验条件，报销差旅费。在校工作时间和待遇可采取“一人一策”、“一事一议”。</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具体实施按照《铜陵学院引进高层次人才暂行办法（修订）》执行。</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Cs w:val="21"/>
        </w:rPr>
        <w:t> </w:t>
      </w:r>
    </w:p>
    <w:p>
      <w:pPr>
        <w:widowControl/>
        <w:snapToGrid w:val="0"/>
        <w:spacing w:line="360" w:lineRule="auto"/>
        <w:ind w:firstLine="0"/>
        <w:rPr>
          <w:rFonts w:ascii="宋体" w:hAnsi="宋体" w:eastAsia="宋体" w:cs="宋体"/>
          <w:kern w:val="0"/>
          <w:szCs w:val="21"/>
        </w:rPr>
      </w:pPr>
      <w:r>
        <w:rPr>
          <w:rFonts w:ascii="宋体" w:hAnsi="宋体" w:eastAsia="宋体" w:cs="宋体"/>
          <w:b/>
          <w:bCs/>
          <w:kern w:val="0"/>
          <w:sz w:val="36"/>
        </w:rPr>
        <w:t>招聘办法</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（一）招聘原则</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1.坚持德才兼备的原则。</w:t>
      </w:r>
      <w:r>
        <w:rPr>
          <w:rFonts w:ascii="宋体" w:hAnsi="宋体" w:eastAsia="宋体" w:cs="宋体"/>
          <w:kern w:val="0"/>
          <w:sz w:val="27"/>
          <w:szCs w:val="27"/>
        </w:rPr>
        <w:br w:type="textWrapping"/>
      </w:r>
      <w:r>
        <w:rPr>
          <w:rFonts w:ascii="宋体" w:hAnsi="宋体" w:eastAsia="宋体" w:cs="宋体"/>
          <w:kern w:val="0"/>
          <w:sz w:val="27"/>
          <w:szCs w:val="27"/>
        </w:rPr>
        <w:t xml:space="preserve">2.坚持民主、平等、竞争、择优的原则。 </w:t>
      </w:r>
      <w:r>
        <w:rPr>
          <w:rFonts w:ascii="宋体" w:hAnsi="宋体" w:eastAsia="宋体" w:cs="宋体"/>
          <w:kern w:val="0"/>
          <w:sz w:val="27"/>
          <w:szCs w:val="27"/>
        </w:rPr>
        <w:br w:type="textWrapping"/>
      </w:r>
      <w:r>
        <w:rPr>
          <w:rFonts w:ascii="宋体" w:hAnsi="宋体" w:eastAsia="宋体" w:cs="宋体"/>
          <w:kern w:val="0"/>
          <w:sz w:val="27"/>
          <w:szCs w:val="27"/>
        </w:rPr>
        <w:t>3.坚持信息公开、过程公开、结果公开，一律实行公开招聘。</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（二）招聘程序</w:t>
      </w:r>
      <w:r>
        <w:rPr>
          <w:rFonts w:ascii="宋体" w:hAnsi="宋体" w:eastAsia="宋体" w:cs="宋体"/>
          <w:kern w:val="0"/>
          <w:sz w:val="27"/>
          <w:szCs w:val="27"/>
        </w:rPr>
        <w:br w:type="textWrapping"/>
      </w:r>
      <w:r>
        <w:rPr>
          <w:rFonts w:ascii="宋体" w:hAnsi="宋体" w:eastAsia="宋体" w:cs="宋体"/>
          <w:kern w:val="0"/>
          <w:sz w:val="27"/>
          <w:szCs w:val="27"/>
        </w:rPr>
        <w:t>1.报名</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(1)应聘者采取网上报名或现场报名。应聘人员须提供的自荐材料：下载并填写《铜陵学院应聘人员简明情况表》（见附件），并附前期学历学位证书、获奖证书、身份证复印件。自荐材料须客观真实，如有虚假，责任自负。</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(2)应聘教师及其他专业技术岗位的人员，请发送电子版自荐材料至</w:t>
      </w:r>
      <w:r>
        <w:fldChar w:fldCharType="begin"/>
      </w:r>
      <w:r>
        <w:instrText xml:space="preserve"> HYPERLINK "mailto:zp10383@tlu.edu.cn" </w:instrText>
      </w:r>
      <w:r>
        <w:fldChar w:fldCharType="separate"/>
      </w:r>
      <w:r>
        <w:rPr>
          <w:rFonts w:ascii="宋体" w:hAnsi="宋体" w:eastAsia="宋体" w:cs="宋体"/>
          <w:color w:val="262626"/>
          <w:kern w:val="0"/>
          <w:sz w:val="18"/>
        </w:rPr>
        <w:t>zp10383@tlu.edu.cn</w:t>
      </w:r>
      <w:r>
        <w:rPr>
          <w:rFonts w:ascii="宋体" w:hAnsi="宋体" w:eastAsia="宋体" w:cs="宋体"/>
          <w:color w:val="262626"/>
          <w:kern w:val="0"/>
          <w:sz w:val="18"/>
        </w:rPr>
        <w:fldChar w:fldCharType="end"/>
      </w:r>
      <w:r>
        <w:rPr>
          <w:rFonts w:ascii="宋体" w:hAnsi="宋体" w:eastAsia="宋体" w:cs="宋体"/>
          <w:kern w:val="0"/>
          <w:sz w:val="27"/>
          <w:szCs w:val="27"/>
        </w:rPr>
        <w:t xml:space="preserve"> 或投递纸质版自荐材料。电子版主题格式：姓名＋学校＋学历（专业）＋应聘部门名称。纸质版直接邮寄至铜陵学院人事处（在信封封面上注明应聘部门）。</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(3)应聘专职辅导员和行政岗位人员，请先将纸质版自荐材料邮寄至铜陵学院人事处（在信封封面上注明应聘岗位），并同时将电子版自荐材料发送至</w:t>
      </w:r>
      <w:r>
        <w:fldChar w:fldCharType="begin"/>
      </w:r>
      <w:r>
        <w:instrText xml:space="preserve"> HYPERLINK "mailto:zp10383@tlu.edu.cn" </w:instrText>
      </w:r>
      <w:r>
        <w:fldChar w:fldCharType="separate"/>
      </w:r>
      <w:r>
        <w:rPr>
          <w:rFonts w:ascii="宋体" w:hAnsi="宋体" w:eastAsia="宋体" w:cs="宋体"/>
          <w:color w:val="262626"/>
          <w:kern w:val="0"/>
          <w:sz w:val="18"/>
        </w:rPr>
        <w:t>zp10383@tlu.edu.cn</w:t>
      </w:r>
      <w:r>
        <w:rPr>
          <w:rFonts w:ascii="宋体" w:hAnsi="宋体" w:eastAsia="宋体" w:cs="宋体"/>
          <w:color w:val="262626"/>
          <w:kern w:val="0"/>
          <w:sz w:val="18"/>
        </w:rPr>
        <w:fldChar w:fldCharType="end"/>
      </w:r>
      <w:r>
        <w:rPr>
          <w:rFonts w:ascii="宋体" w:hAnsi="宋体" w:eastAsia="宋体" w:cs="宋体"/>
          <w:kern w:val="0"/>
          <w:sz w:val="27"/>
          <w:szCs w:val="27"/>
        </w:rPr>
        <w:t xml:space="preserve"> ，电子版自荐材料主题格式：姓名＋学校＋学历（专业）＋应聘部门名称。</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(4)报名截止时间：专任教师及其他专业技术岗位截止2017年5月15日，在此之前已完成招聘的岗位将不再受理报名，岗位完成招聘的情况请关注我校人事处网页有关公示；专辅行政岗位的截止时间为学校举行专辅行政人员专场招聘会的前一周，届时将在学校人事处网页上发布通知。</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2.资格审查</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对应聘者所投递的自荐材料进行资格审查。学校和各用人单位主要审查应聘者的年龄、专业、学习经历、工作经历、科研情况以及相关证书等材料。资格审查通过后，以电话或电子邮件方式通知应聘者参加考核的时间和地点。</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3.考核考试</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1）专任教师和专职实验人员。由学校人才引进工作小组下设的三个分组（经管组、理工组和文法体艺组）牵头，会同人事处、教务处、纪委和相关学院（部）组织对应聘者进行考核，考核主要方式为面试、试讲、成果考核、技能考核等。应聘同一岗位的，参加考核人数与岗位招聘数的比例原则上应不低于3:1。</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应聘教授岗位的人员，校学术委员会将组织相关专家对其学术成果进行评价。</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2）其他专业技术人员。由学校人才引进工作小组下设的相关分组牵头，会同人事处、纪委和相关部门组织对应聘者进行考核。考核主要内容为面试和业务技能考核，面试和业务技能考核的成绩比为4:6。应聘同一岗位的，参加考核人数与岗位招聘数的比例原则上应不低于3:1。</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3）专职辅导员和行政岗位人员。学校统一组织考试，考试分笔试和面试，笔试主要考察应聘者对教育教学及教学管理的认识、个人的心理健康状况等。面试主要考察应聘者基本状况、思想政治表现、道德品质、个人特长、口头表达能力、实际应变能力等综合素质。面试由学校组织考核组进行现场考核，考核组由学校相关部门领导和外聘专家组成，其中，外聘专家数量占考核组人数的一半以上，考核组根据应聘人员的综合状况现场打分。笔试和面试的成绩比为4:6。应聘同一岗位的，报名人数与招聘人数按照至少3:1的比例进行，对达不到规定比例要求的，取消该岗位的招聘。</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根据应聘行政人员的考试总成绩，分招聘岗位从高分到低分（若总成绩相同，面试成绩高者排在前面）按岗位招聘人数1：1的比例确定初步人选。根据学生管理工作的实际需要，专职辅导员岗位聘用的男女比例为1：1左右，根据考试总成绩，分别从高分到低分（若总成绩相同，面试成绩高者排在前面）按岗位招聘人数1：1的比例确定初步人选。</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（4）学校将择期举行招聘专职辅导员和行政岗位人员考试，考试的具体时间、地点请注意我校人事处网页通知，考试人选以人事处电话通知为准。</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（5）所有考核成绩均按百分制计算，各考核小组结束考核并评定总成绩后，形成书面意见上报学校。学校党委会集体研究择优初定拟聘用人选。</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6）被通知来校参加考核的人员，须携带以下材料：应聘岗位要求的学历学位证明、毕业生就业推荐表、毕业生就业协议书、已取得的学历学位证书、身份证、部分发表的论文及科研成果证明、学习成绩单等材料（以上材料均验原件）。</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4.体检考察</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(1)在学校人事处网页公布体检人员名单，并通知相关应聘人员到学校指定的三甲医院进行体检。应聘人员在接到通知后两周内未及时按要求完成体检，学校可取消其体检资格。</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(2)考察主要是全面了解入围人选的德、能、勤、绩、廉情况与政治业务素质、应聘职位的适应程度以及是否需要回避等方面的情况，突出考察政治品质和道德品行。由入围人选所应聘部门组成考察组，考察组由两人以上组成。考察应做到客观、公正，并据实形成书面考察材料报送学校人事处。</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5.公示</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对经学校研究初定的、体检考察合格的拟聘用人选在校园网上进行公示，公示期为7天。</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6.签订协议</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经公示无异议的人员，学校为其办理聘用手续。应聘人员在接到通知后三周内未及时与学校签订就业（聘用）协议，学校可取消其聘用资格。</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7.材料上报</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相关招聘材料呈报省教育厅、人社厅备案并办理相关手续。上述过程学校纪委全程参与监督。</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8.其他说明</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xml:space="preserve">   （1）因下列情形导致招聘岗位出现空缺的，学校将视情决定是否递补。经研究需要递补的，则按照规定程序依据总成绩从高分到低分依次等额递补。 </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①应聘者体检或者考察不符合要求的；</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②拟聘人员公示的结果影响聘用的；</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③拟聘人员自愿放弃聘用的；</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④拟聘人员未在规定的时间报到的；</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⑤导致拟聘岗位空缺的其他情形。</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   （2）若学校同意聘用并经公示无异议，规定期限内未到铜陵学院办理聘用手续的，取消其聘用资格，并支付招聘损失2000元。</w:t>
      </w:r>
    </w:p>
    <w:p>
      <w:pPr>
        <w:widowControl/>
        <w:snapToGrid w:val="0"/>
        <w:spacing w:line="360" w:lineRule="auto"/>
        <w:ind w:firstLine="0"/>
        <w:rPr>
          <w:rFonts w:ascii="宋体" w:hAnsi="宋体" w:eastAsia="宋体" w:cs="宋体"/>
          <w:kern w:val="0"/>
          <w:szCs w:val="21"/>
        </w:rPr>
      </w:pPr>
      <w:r>
        <w:rPr>
          <w:rFonts w:ascii="宋体" w:hAnsi="宋体" w:eastAsia="宋体" w:cs="宋体"/>
          <w:kern w:val="0"/>
          <w:sz w:val="27"/>
          <w:szCs w:val="27"/>
        </w:rPr>
        <w:t>联系方式：</w:t>
      </w:r>
    </w:p>
    <w:p>
      <w:pPr>
        <w:widowControl/>
        <w:snapToGrid w:val="0"/>
        <w:spacing w:line="360" w:lineRule="auto"/>
        <w:ind w:firstLine="540" w:firstLineChars="200"/>
        <w:rPr>
          <w:rFonts w:ascii="宋体" w:hAnsi="宋体" w:eastAsia="宋体" w:cs="宋体"/>
          <w:kern w:val="0"/>
          <w:szCs w:val="21"/>
        </w:rPr>
      </w:pPr>
      <w:r>
        <w:rPr>
          <w:rFonts w:ascii="宋体" w:hAnsi="宋体" w:eastAsia="宋体" w:cs="宋体"/>
          <w:kern w:val="0"/>
          <w:sz w:val="27"/>
          <w:szCs w:val="27"/>
        </w:rPr>
        <w:t>地址：安徽省铜陵市经济技术开发区翠湖四路1335号铜陵学院人事处</w:t>
      </w:r>
    </w:p>
    <w:p>
      <w:pPr>
        <w:widowControl/>
        <w:snapToGrid w:val="0"/>
        <w:spacing w:line="360" w:lineRule="auto"/>
        <w:ind w:firstLine="540" w:firstLineChars="200"/>
        <w:rPr>
          <w:rFonts w:ascii="宋体" w:hAnsi="宋体" w:eastAsia="宋体" w:cs="宋体"/>
          <w:kern w:val="0"/>
          <w:szCs w:val="21"/>
        </w:rPr>
      </w:pPr>
      <w:r>
        <w:rPr>
          <w:rFonts w:ascii="宋体" w:hAnsi="宋体" w:eastAsia="宋体" w:cs="宋体"/>
          <w:kern w:val="0"/>
          <w:sz w:val="27"/>
          <w:szCs w:val="27"/>
        </w:rPr>
        <w:t>邮政编码：244061 　　联系人：吴老师 　徐老师</w:t>
      </w:r>
    </w:p>
    <w:p>
      <w:pPr>
        <w:widowControl/>
        <w:snapToGrid w:val="0"/>
        <w:spacing w:line="360" w:lineRule="auto"/>
        <w:ind w:firstLine="540" w:firstLineChars="200"/>
        <w:rPr>
          <w:rFonts w:ascii="宋体" w:hAnsi="宋体" w:eastAsia="宋体" w:cs="宋体"/>
          <w:kern w:val="0"/>
          <w:szCs w:val="21"/>
        </w:rPr>
      </w:pPr>
      <w:r>
        <w:rPr>
          <w:rFonts w:ascii="宋体" w:hAnsi="宋体" w:eastAsia="宋体" w:cs="宋体"/>
          <w:kern w:val="0"/>
          <w:sz w:val="27"/>
          <w:szCs w:val="27"/>
        </w:rPr>
        <w:t>联系电话：（0562）5881979 网址：</w:t>
      </w:r>
      <w:r>
        <w:fldChar w:fldCharType="begin"/>
      </w:r>
      <w:r>
        <w:instrText xml:space="preserve"> HYPERLINK "http://rsc.tlu.edu.cn/" </w:instrText>
      </w:r>
      <w:r>
        <w:fldChar w:fldCharType="separate"/>
      </w:r>
      <w:r>
        <w:rPr>
          <w:rFonts w:ascii="宋体" w:hAnsi="宋体" w:eastAsia="宋体" w:cs="宋体"/>
          <w:color w:val="262626"/>
          <w:kern w:val="0"/>
          <w:sz w:val="27"/>
        </w:rPr>
        <w:t>http://rsc.tlu.edu.cn/</w:t>
      </w:r>
      <w:r>
        <w:rPr>
          <w:rFonts w:ascii="宋体" w:hAnsi="宋体" w:eastAsia="宋体" w:cs="宋体"/>
          <w:color w:val="262626"/>
          <w:kern w:val="0"/>
          <w:sz w:val="27"/>
        </w:rPr>
        <w:fldChar w:fldCharType="end"/>
      </w:r>
    </w:p>
    <w:p>
      <w:pPr>
        <w:widowControl/>
        <w:snapToGrid w:val="0"/>
        <w:spacing w:line="360" w:lineRule="auto"/>
        <w:ind w:firstLine="540" w:firstLineChars="200"/>
        <w:rPr>
          <w:rFonts w:ascii="宋体" w:hAnsi="宋体" w:eastAsia="宋体" w:cs="宋体"/>
          <w:kern w:val="0"/>
          <w:szCs w:val="21"/>
        </w:rPr>
      </w:pPr>
      <w:r>
        <w:rPr>
          <w:rFonts w:ascii="宋体" w:hAnsi="宋体" w:eastAsia="宋体" w:cs="宋体"/>
          <w:kern w:val="0"/>
          <w:sz w:val="27"/>
          <w:szCs w:val="27"/>
        </w:rPr>
        <w:t>E―mail：</w:t>
      </w:r>
      <w:r>
        <w:rPr>
          <w:rFonts w:ascii="宋体" w:hAnsi="宋体" w:eastAsia="宋体" w:cs="宋体"/>
          <w:kern w:val="0"/>
          <w:sz w:val="27"/>
          <w:szCs w:val="27"/>
        </w:rPr>
        <w:fldChar w:fldCharType="begin"/>
      </w:r>
      <w:r>
        <w:rPr>
          <w:rFonts w:ascii="宋体" w:hAnsi="宋体" w:eastAsia="宋体" w:cs="宋体"/>
          <w:kern w:val="0"/>
          <w:sz w:val="27"/>
          <w:szCs w:val="27"/>
        </w:rPr>
        <w:instrText xml:space="preserve"> HYPERLINK "mailto:zp10383@tlu.edu.cn" </w:instrText>
      </w:r>
      <w:r>
        <w:rPr>
          <w:rFonts w:ascii="宋体" w:hAnsi="宋体" w:eastAsia="宋体" w:cs="宋体"/>
          <w:kern w:val="0"/>
          <w:sz w:val="27"/>
          <w:szCs w:val="27"/>
        </w:rPr>
        <w:fldChar w:fldCharType="separate"/>
      </w:r>
      <w:r>
        <w:rPr>
          <w:rStyle w:val="5"/>
          <w:rFonts w:ascii="宋体" w:hAnsi="宋体" w:eastAsia="宋体" w:cs="宋体"/>
          <w:kern w:val="0"/>
          <w:sz w:val="27"/>
          <w:szCs w:val="27"/>
        </w:rPr>
        <w:t>zp10383@tlu.edu.cn</w:t>
      </w:r>
      <w:r>
        <w:rPr>
          <w:rFonts w:ascii="宋体" w:hAnsi="宋体" w:eastAsia="宋体" w:cs="宋体"/>
          <w:kern w:val="0"/>
          <w:sz w:val="27"/>
          <w:szCs w:val="27"/>
        </w:rPr>
        <w:fldChar w:fldCharType="end"/>
      </w:r>
      <w:r>
        <w:rPr>
          <w:rFonts w:hint="eastAsia" w:ascii="宋体" w:hAnsi="宋体" w:eastAsia="宋体" w:cs="宋体"/>
          <w:kern w:val="0"/>
          <w:sz w:val="27"/>
          <w:szCs w:val="27"/>
          <w:lang w:val="en-US" w:eastAsia="zh-CN"/>
        </w:rPr>
        <w:t xml:space="preserve"> </w:t>
      </w:r>
      <w:r>
        <w:rPr>
          <w:rFonts w:hint="eastAsia" w:ascii="宋体" w:hAnsi="宋体" w:eastAsia="宋体" w:cs="宋体"/>
          <w:kern w:val="0"/>
          <w:sz w:val="27"/>
          <w:szCs w:val="27"/>
          <w:lang w:val="en-US" w:eastAsia="zh-CN"/>
        </w:rPr>
        <w:fldChar w:fldCharType="begin"/>
      </w:r>
      <w:r>
        <w:rPr>
          <w:rFonts w:hint="eastAsia" w:ascii="宋体" w:hAnsi="宋体" w:eastAsia="宋体" w:cs="宋体"/>
          <w:kern w:val="0"/>
          <w:sz w:val="27"/>
          <w:szCs w:val="27"/>
          <w:lang w:val="en-US" w:eastAsia="zh-CN"/>
        </w:rPr>
        <w:instrText xml:space="preserve"> HYPERLINK "mailto:抄送tlxyzp@126.com" </w:instrText>
      </w:r>
      <w:r>
        <w:rPr>
          <w:rFonts w:hint="eastAsia" w:ascii="宋体" w:hAnsi="宋体" w:eastAsia="宋体" w:cs="宋体"/>
          <w:kern w:val="0"/>
          <w:sz w:val="27"/>
          <w:szCs w:val="27"/>
          <w:lang w:val="en-US" w:eastAsia="zh-CN"/>
        </w:rPr>
        <w:fldChar w:fldCharType="separate"/>
      </w:r>
      <w:r>
        <w:rPr>
          <w:rStyle w:val="5"/>
          <w:rFonts w:hint="eastAsia" w:ascii="宋体" w:hAnsi="宋体" w:eastAsia="宋体" w:cs="宋体"/>
          <w:kern w:val="0"/>
          <w:sz w:val="27"/>
          <w:szCs w:val="27"/>
          <w:lang w:val="en-US" w:eastAsia="zh-CN"/>
        </w:rPr>
        <w:t>抄送tlxyzp@126.com</w:t>
      </w:r>
      <w:r>
        <w:rPr>
          <w:rFonts w:hint="eastAsia" w:ascii="宋体" w:hAnsi="宋体" w:eastAsia="宋体" w:cs="宋体"/>
          <w:kern w:val="0"/>
          <w:sz w:val="27"/>
          <w:szCs w:val="27"/>
          <w:lang w:val="en-US" w:eastAsia="zh-CN"/>
        </w:rPr>
        <w:fldChar w:fldCharType="end"/>
      </w:r>
      <w:r>
        <w:rPr>
          <w:rFonts w:hint="eastAsia" w:ascii="宋体" w:hAnsi="宋体" w:eastAsia="宋体" w:cs="宋体"/>
          <w:kern w:val="0"/>
          <w:sz w:val="27"/>
          <w:szCs w:val="27"/>
          <w:lang w:val="en-US" w:eastAsia="zh-CN"/>
        </w:rPr>
        <w:t xml:space="preserve"> （邮件标题:硕博招聘在线+姓名+专业+学历+毕业院校）</w:t>
      </w:r>
    </w:p>
    <w:p>
      <w:pPr>
        <w:widowControl/>
        <w:snapToGrid w:val="0"/>
        <w:spacing w:line="360" w:lineRule="auto"/>
        <w:ind w:firstLine="540" w:firstLineChars="200"/>
        <w:rPr>
          <w:rFonts w:ascii="宋体" w:hAnsi="宋体" w:eastAsia="宋体" w:cs="宋体"/>
          <w:kern w:val="0"/>
          <w:szCs w:val="21"/>
        </w:rPr>
      </w:pPr>
      <w:r>
        <w:rPr>
          <w:rFonts w:ascii="宋体" w:hAnsi="宋体" w:eastAsia="宋体" w:cs="宋体"/>
          <w:kern w:val="0"/>
          <w:sz w:val="27"/>
          <w:szCs w:val="27"/>
        </w:rPr>
        <w:t>特别提示：我校2017年度进人计划需报主管部门审批，审批后若有变动，则以调整后的为准。</w:t>
      </w:r>
    </w:p>
    <w:p>
      <w:pPr>
        <w:widowControl/>
        <w:snapToGrid w:val="0"/>
        <w:spacing w:line="360" w:lineRule="auto"/>
        <w:ind w:firstLine="540" w:firstLineChars="200"/>
        <w:rPr>
          <w:rFonts w:ascii="宋体" w:hAnsi="宋体" w:eastAsia="宋体" w:cs="宋体"/>
          <w:kern w:val="0"/>
          <w:szCs w:val="21"/>
        </w:rPr>
      </w:pPr>
      <w:r>
        <w:rPr>
          <w:rFonts w:ascii="宋体" w:hAnsi="宋体" w:eastAsia="宋体" w:cs="宋体"/>
          <w:kern w:val="0"/>
          <w:sz w:val="27"/>
          <w:szCs w:val="27"/>
        </w:rPr>
        <w:t>特别提醒：我校2017年招聘不收任何费用，请广大应聘者注意，以防受骗上当。</w:t>
      </w:r>
    </w:p>
    <w:p>
      <w:pPr>
        <w:widowControl/>
        <w:snapToGrid w:val="0"/>
        <w:spacing w:line="360" w:lineRule="auto"/>
        <w:ind w:firstLine="567" w:firstLineChars="210"/>
        <w:rPr>
          <w:rFonts w:ascii="宋体" w:hAnsi="宋体" w:eastAsia="宋体" w:cs="宋体"/>
          <w:kern w:val="0"/>
          <w:sz w:val="27"/>
          <w:szCs w:val="27"/>
        </w:rPr>
      </w:pPr>
      <w:r>
        <w:rPr>
          <w:rFonts w:ascii="宋体" w:hAnsi="宋体" w:eastAsia="宋体" w:cs="宋体"/>
          <w:kern w:val="0"/>
          <w:sz w:val="27"/>
          <w:szCs w:val="27"/>
        </w:rPr>
        <w:t>附件：铜陵学院应聘人员简明情况表（请在人事处网页下载中心下载）。</w:t>
      </w:r>
    </w:p>
    <w:p>
      <w:pPr>
        <w:widowControl/>
        <w:snapToGrid w:val="0"/>
        <w:spacing w:line="360" w:lineRule="auto"/>
        <w:ind w:firstLine="567" w:firstLineChars="210"/>
        <w:rPr>
          <w:rFonts w:ascii="宋体" w:hAnsi="宋体" w:eastAsia="宋体" w:cs="宋体"/>
          <w:kern w:val="0"/>
          <w:sz w:val="27"/>
          <w:szCs w:val="27"/>
        </w:rPr>
      </w:pPr>
    </w:p>
    <w:tbl>
      <w:tblPr>
        <w:tblW w:w="8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15"/>
        <w:gridCol w:w="1493"/>
        <w:gridCol w:w="2426"/>
        <w:gridCol w:w="1056"/>
        <w:gridCol w:w="793"/>
        <w:gridCol w:w="2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8790" w:type="dxa"/>
            <w:gridSpan w:val="6"/>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铜陵学院2017年行政人员需求计划表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院（部）名称</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需求专业</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学历（学位）</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需求数</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49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办公室</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中文、思政、哲学、历史、法学、教育学</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有文字功底，中共党员（文秘岗）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20"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档案学、图书情报学、信息管理与信息系统、计算机科学与技术</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档案岗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93"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纪委（监审处）</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土木工程、工程造价、工程管理等相关专业　</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493"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会计学、审计学专业　</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新闻及相关专业</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中共党员；具备新闻写作或摄影、摄像能力者优先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1493" w:type="dxa"/>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人事处</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计算机相关专业或数学</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149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发规处</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教务处</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工科类专业、汉语言文学、新闻</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1493"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学生处</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心理学相关专业</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有心理咨询师资格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1493"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计算机相关专业或数学</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中共党员；熟悉数据库操作，有创业经历者优先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149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国资处</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法律、财经类及其相关专业</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综合管理岗位。中共党员，文字功底好、思想素质高，具有一定的组织协调能力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15" w:hRule="atLeast"/>
        </w:trPr>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9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总务处</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科研处</w:t>
            </w:r>
          </w:p>
        </w:tc>
        <w:tc>
          <w:tcPr>
            <w:tcW w:w="242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理工科</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保卫处</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法学或汉语言文学</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0"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创新创业学院</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工学</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创新创业学院项目指导和管理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FF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FF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15" w:type="dxa"/>
            <w:shd w:val="clear"/>
            <w:vAlign w:val="center"/>
          </w:tcPr>
          <w:p>
            <w:pPr>
              <w:rPr>
                <w:rFonts w:hint="eastAsia" w:ascii="宋体" w:hAnsi="宋体" w:eastAsia="宋体" w:cs="宋体"/>
                <w:i w:val="0"/>
                <w:color w:val="000000"/>
                <w:sz w:val="24"/>
                <w:szCs w:val="24"/>
                <w:u w:val="none"/>
              </w:rPr>
            </w:pPr>
          </w:p>
        </w:tc>
        <w:tc>
          <w:tcPr>
            <w:tcW w:w="1493" w:type="dxa"/>
            <w:shd w:val="clear"/>
            <w:vAlign w:val="center"/>
          </w:tcPr>
          <w:p>
            <w:pPr>
              <w:rPr>
                <w:rFonts w:hint="eastAsia" w:ascii="宋体" w:hAnsi="宋体" w:eastAsia="宋体" w:cs="宋体"/>
                <w:i w:val="0"/>
                <w:color w:val="000000"/>
                <w:sz w:val="24"/>
                <w:szCs w:val="24"/>
                <w:u w:val="none"/>
              </w:rPr>
            </w:pPr>
          </w:p>
        </w:tc>
        <w:tc>
          <w:tcPr>
            <w:tcW w:w="2426" w:type="dxa"/>
            <w:shd w:val="clear"/>
            <w:vAlign w:val="center"/>
          </w:tcPr>
          <w:p>
            <w:pPr>
              <w:rPr>
                <w:rFonts w:hint="eastAsia" w:ascii="宋体" w:hAnsi="宋体" w:eastAsia="宋体" w:cs="宋体"/>
                <w:i w:val="0"/>
                <w:color w:val="000000"/>
                <w:sz w:val="24"/>
                <w:szCs w:val="24"/>
                <w:u w:val="none"/>
              </w:rPr>
            </w:pPr>
          </w:p>
        </w:tc>
        <w:tc>
          <w:tcPr>
            <w:tcW w:w="1056" w:type="dxa"/>
            <w:shd w:val="clear"/>
            <w:vAlign w:val="center"/>
          </w:tcPr>
          <w:p>
            <w:pPr>
              <w:rPr>
                <w:rFonts w:hint="eastAsia" w:ascii="宋体" w:hAnsi="宋体" w:eastAsia="宋体" w:cs="宋体"/>
                <w:i w:val="0"/>
                <w:color w:val="000000"/>
                <w:sz w:val="24"/>
                <w:szCs w:val="24"/>
                <w:u w:val="none"/>
              </w:rPr>
            </w:pPr>
          </w:p>
        </w:tc>
        <w:tc>
          <w:tcPr>
            <w:tcW w:w="793" w:type="dxa"/>
            <w:shd w:val="clear"/>
            <w:vAlign w:val="center"/>
          </w:tcPr>
          <w:p>
            <w:pPr>
              <w:rPr>
                <w:rFonts w:hint="eastAsia" w:ascii="宋体" w:hAnsi="宋体" w:eastAsia="宋体" w:cs="宋体"/>
                <w:i w:val="0"/>
                <w:color w:val="000000"/>
                <w:sz w:val="24"/>
                <w:szCs w:val="24"/>
                <w:u w:val="none"/>
              </w:rPr>
            </w:pPr>
          </w:p>
        </w:tc>
        <w:tc>
          <w:tcPr>
            <w:tcW w:w="2307"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790" w:type="dxa"/>
            <w:gridSpan w:val="6"/>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铜陵学院2017年专职辅导员需求计划表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院（部）名称</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学历（学位）</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需求数</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需求专业</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会计学院</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3"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思想政治教育、教育学、心理学、法学及辅导员岗位所在学院相关专业</w:t>
            </w:r>
          </w:p>
        </w:tc>
        <w:tc>
          <w:tcPr>
            <w:tcW w:w="2307"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本科或研究生学习期间担任一学年及以上主要学生干部（指各级学生会正、副主席；校院两委正、副部长；班长或团支书；学生党支部正、副书记；校社团联合会正、副会长等）。中共党员和主要学生干部资格认定截止时间为2016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金融学院</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3"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307"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经济学院</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3"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307"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电气学院</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3"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307"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机械学院</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3"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307"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建筑工程学院</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3"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307"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文学与艺术传媒学院</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3"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307"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FF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7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715" w:type="dxa"/>
            <w:shd w:val="clear"/>
            <w:vAlign w:val="center"/>
          </w:tcPr>
          <w:p>
            <w:pPr>
              <w:rPr>
                <w:rFonts w:hint="eastAsia" w:ascii="宋体" w:hAnsi="宋体" w:eastAsia="宋体" w:cs="宋体"/>
                <w:i w:val="0"/>
                <w:color w:val="000000"/>
                <w:sz w:val="24"/>
                <w:szCs w:val="24"/>
                <w:u w:val="none"/>
              </w:rPr>
            </w:pPr>
          </w:p>
        </w:tc>
        <w:tc>
          <w:tcPr>
            <w:tcW w:w="1493" w:type="dxa"/>
            <w:shd w:val="clear"/>
            <w:vAlign w:val="center"/>
          </w:tcPr>
          <w:p>
            <w:pPr>
              <w:rPr>
                <w:rFonts w:hint="eastAsia" w:ascii="宋体" w:hAnsi="宋体" w:eastAsia="宋体" w:cs="宋体"/>
                <w:i w:val="0"/>
                <w:color w:val="000000"/>
                <w:sz w:val="24"/>
                <w:szCs w:val="24"/>
                <w:u w:val="none"/>
              </w:rPr>
            </w:pPr>
          </w:p>
        </w:tc>
        <w:tc>
          <w:tcPr>
            <w:tcW w:w="2426" w:type="dxa"/>
            <w:shd w:val="clear"/>
            <w:vAlign w:val="center"/>
          </w:tcPr>
          <w:p>
            <w:pPr>
              <w:rPr>
                <w:rFonts w:hint="eastAsia" w:ascii="宋体" w:hAnsi="宋体" w:eastAsia="宋体" w:cs="宋体"/>
                <w:i w:val="0"/>
                <w:color w:val="000000"/>
                <w:sz w:val="24"/>
                <w:szCs w:val="24"/>
                <w:u w:val="none"/>
              </w:rPr>
            </w:pPr>
          </w:p>
        </w:tc>
        <w:tc>
          <w:tcPr>
            <w:tcW w:w="1056" w:type="dxa"/>
            <w:shd w:val="clear"/>
            <w:vAlign w:val="center"/>
          </w:tcPr>
          <w:p>
            <w:pPr>
              <w:rPr>
                <w:rFonts w:hint="eastAsia" w:ascii="宋体" w:hAnsi="宋体" w:eastAsia="宋体" w:cs="宋体"/>
                <w:i w:val="0"/>
                <w:color w:val="000000"/>
                <w:sz w:val="24"/>
                <w:szCs w:val="24"/>
                <w:u w:val="none"/>
              </w:rPr>
            </w:pPr>
          </w:p>
        </w:tc>
        <w:tc>
          <w:tcPr>
            <w:tcW w:w="793" w:type="dxa"/>
            <w:shd w:val="clear"/>
            <w:vAlign w:val="center"/>
          </w:tcPr>
          <w:p>
            <w:pPr>
              <w:rPr>
                <w:rFonts w:hint="eastAsia" w:ascii="宋体" w:hAnsi="宋体" w:eastAsia="宋体" w:cs="宋体"/>
                <w:i w:val="0"/>
                <w:color w:val="000000"/>
                <w:sz w:val="24"/>
                <w:szCs w:val="24"/>
                <w:u w:val="none"/>
              </w:rPr>
            </w:pPr>
          </w:p>
        </w:tc>
        <w:tc>
          <w:tcPr>
            <w:tcW w:w="2307" w:type="dxa"/>
            <w:shd w:val="clear"/>
            <w:vAlign w:val="center"/>
          </w:tcPr>
          <w:p>
            <w:pPr>
              <w:rPr>
                <w:rFonts w:hint="eastAsia" w:ascii="宋体" w:hAnsi="宋体" w:eastAsia="宋体" w:cs="宋体"/>
                <w:i w:val="0"/>
                <w:color w:val="000000"/>
                <w:sz w:val="24"/>
                <w:szCs w:val="24"/>
                <w:u w:val="none"/>
              </w:rPr>
            </w:pPr>
          </w:p>
        </w:tc>
      </w:tr>
    </w:tbl>
    <w:p>
      <w:pPr>
        <w:widowControl/>
        <w:snapToGrid w:val="0"/>
        <w:spacing w:line="360" w:lineRule="auto"/>
        <w:ind w:firstLine="567" w:firstLineChars="210"/>
        <w:rPr>
          <w:rFonts w:ascii="宋体" w:hAnsi="宋体" w:eastAsia="宋体" w:cs="宋体"/>
          <w:kern w:val="0"/>
          <w:sz w:val="27"/>
          <w:szCs w:val="27"/>
        </w:rPr>
      </w:pPr>
    </w:p>
    <w:p>
      <w:pPr>
        <w:widowControl/>
        <w:snapToGrid w:val="0"/>
        <w:spacing w:line="360" w:lineRule="auto"/>
        <w:ind w:firstLine="567" w:firstLineChars="210"/>
        <w:rPr>
          <w:rFonts w:ascii="宋体" w:hAnsi="宋体" w:eastAsia="宋体" w:cs="宋体"/>
          <w:kern w:val="0"/>
          <w:sz w:val="27"/>
          <w:szCs w:val="27"/>
        </w:rPr>
      </w:pPr>
    </w:p>
    <w:tbl>
      <w:tblPr>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38"/>
        <w:gridCol w:w="1215"/>
        <w:gridCol w:w="715"/>
        <w:gridCol w:w="2153"/>
        <w:gridCol w:w="1215"/>
        <w:gridCol w:w="715"/>
        <w:gridCol w:w="2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9090" w:type="dxa"/>
            <w:gridSpan w:val="7"/>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铜陵学院2017年教师与其他专业技术人员需求计划表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09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专任教师岗位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院（部）    名称</w:t>
            </w:r>
          </w:p>
        </w:tc>
        <w:tc>
          <w:tcPr>
            <w:tcW w:w="4083"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博士</w:t>
            </w:r>
          </w:p>
        </w:tc>
        <w:tc>
          <w:tcPr>
            <w:tcW w:w="396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需求专业</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需求数</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需求专业</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需求数</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会计学院</w:t>
            </w: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   （财务管理）</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   （财务管理）</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审计学</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审计学</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资产评估</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资产评估</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金融学院</w:t>
            </w: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金融学　</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金融学　</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精通互联网、计算机技术优先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保险学</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保险学</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投资学</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投资学</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金融工程</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金融工程</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38"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财税与公共管理学院</w:t>
            </w: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财政学（含：税收学）　</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学士、硕士阶段为财税、会计类专业　</w:t>
            </w:r>
          </w:p>
        </w:tc>
        <w:tc>
          <w:tcPr>
            <w:tcW w:w="1215" w:type="dxa"/>
            <w:vMerge w:val="restart"/>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restart"/>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39"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38"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管理科学与工程　</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学士或硕士阶段为房地产开发与管理、工程管理类专业</w:t>
            </w:r>
            <w:r>
              <w:rPr>
                <w:rStyle w:val="7"/>
                <w:lang w:val="en-US" w:eastAsia="zh-CN" w:bidi="ar"/>
              </w:rPr>
              <w:t>　</w:t>
            </w:r>
          </w:p>
        </w:tc>
        <w:tc>
          <w:tcPr>
            <w:tcW w:w="1215"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工商管理学院</w:t>
            </w: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 （人力资源管理）</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39"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企业管理   （市场营销）</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本、硕、博专业方向一致</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　</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电子商务或电子商务相近专业</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　</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本、硕、博专业方向一致　</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经济学院</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理论经济学</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计量经济学和商务经济学方向优先</w:t>
            </w: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国际贸易学</w:t>
            </w:r>
          </w:p>
        </w:tc>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能从事双语教学者优先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应用经济学</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国际贸易学和统计学方向优先，其中国际贸易方向能从事双语教学者优先</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10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外国语学院</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英语语言文学</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英语语言文学</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本科毕业学校为一本学校，毕业专业为英语语言文学或商务英语专业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数学与计算机学院</w:t>
            </w: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计算机应用技术</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动漫游戏制作方向，有职业资格证书、工程实践能力强者优先</w:t>
            </w: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计算机应用技术</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动漫游戏制作方向，有职业资格证书、工程实践能力强者优先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物联网应用方向（或无线网络方向），有职业资格证书、工程实践能力强者优先</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影视动画制作方向，有职业资格证书、工程实践能力强者优先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应用经济学（金融学类）</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金融数学方向（或保险精算方向），要求：1.本科或硕士阶段数学建模竞赛获奖（附获奖证书）；2.熟练掌握MATLAB编程（面试考核）</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电气工程学院</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电气工程及其自动化</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1、电气工程及其自动化专业；2、建筑电气与智能化专业教师</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电力系统及其自动化</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电气工程及其自动化专业；本科要求是电气工程及其自动化专业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通信与信息系统</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通信工程专业教师</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电气工程</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建筑电气与智能化专业教师；本科要求建筑电气与智能化或相近专业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信号与信息处理</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电子信息工程专业教师</w:t>
            </w: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检测技术与自动化装置</w:t>
            </w:r>
          </w:p>
        </w:tc>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自动化专业教师，本科要求是电气工程及其自动化专业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检测技术与自动化装置</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自动化专业教师</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物理学</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大学物理专业教师</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机械工程学院</w:t>
            </w: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机械电子工程</w:t>
            </w:r>
          </w:p>
        </w:tc>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研究方向：液压控制，具有一定的实践经验优先</w:t>
            </w: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汽车电子电气控制方向，本、硕均为汽车类相关专业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汽车商务服务方向，本、硕均为汽车类相关专业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汽车设计制造方向，本、硕均为汽车类相关专业</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交通运输规划与管理（安全工程）</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机械制造及其自动化</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本科为机械设计制造及其自动化专业</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车辆工程 </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实验教师，汽车设计与制造方向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建筑工程学院</w:t>
            </w: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结构工程</w:t>
            </w:r>
          </w:p>
        </w:tc>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建筑学</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桥梁与隧道工程</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本科为相关方向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地图学与地理信息系统</w:t>
            </w:r>
          </w:p>
        </w:tc>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结构工程</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地图学与地理信息系统</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二次开发方向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管理科学与工程</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本科为工程管理相关专业、熟悉施工与造价</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管理科学与工程</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本科为土木、工程造价相关专业,熟悉施工与造价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0"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文学与艺术传媒学院</w:t>
            </w: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153"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新闻传播学</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广告学、新闻学、传播学等专业；硕士阶段：数字媒介（网络传播或新媒体方向）；2.熟悉新媒体管理、网络与新媒体广告，熟练掌握图形制作软件Illustrator、CorelDraw、图像处理软件Photoshop、Lightroom、影视后期编辑制作软件PR；3.有行业工作经验、海外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数字媒体艺术</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1.本科：动画、数字媒体艺术等专业2.熟悉信息设计、交互概念设计、界面设计、人机交互、展示设计、计算机语言、计算机图形学、信息与通信技术；3.有行业工作经验、海外经历者优先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乐团管理（民乐）</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从事专职艺术实践管理（实验员岗位）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法学院</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经济法学</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民商法学</w:t>
            </w:r>
          </w:p>
        </w:tc>
        <w:tc>
          <w:tcPr>
            <w:tcW w:w="7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知识产权方向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5" w:hRule="atLeast"/>
        </w:trPr>
        <w:tc>
          <w:tcPr>
            <w:tcW w:w="10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体育部</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体育学</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男、女硕士各一名。1、要求女性硕士本科专业为健美操或羽毛球 ；2、要求男性硕士本科专业为羽毛球或足球专业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w:t>
            </w:r>
          </w:p>
        </w:tc>
        <w:tc>
          <w:tcPr>
            <w:tcW w:w="20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38" w:type="dxa"/>
            <w:shd w:val="clear"/>
            <w:vAlign w:val="center"/>
          </w:tcPr>
          <w:p>
            <w:pPr>
              <w:jc w:val="center"/>
              <w:rPr>
                <w:rFonts w:hint="eastAsia" w:ascii="宋体" w:hAnsi="宋体" w:eastAsia="宋体" w:cs="宋体"/>
                <w:b/>
                <w:i w:val="0"/>
                <w:color w:val="000000"/>
                <w:sz w:val="20"/>
                <w:szCs w:val="20"/>
                <w:u w:val="none"/>
              </w:rPr>
            </w:pPr>
          </w:p>
        </w:tc>
        <w:tc>
          <w:tcPr>
            <w:tcW w:w="1215" w:type="dxa"/>
            <w:shd w:val="clear"/>
            <w:vAlign w:val="center"/>
          </w:tcPr>
          <w:p>
            <w:pPr>
              <w:jc w:val="center"/>
              <w:rPr>
                <w:rFonts w:hint="eastAsia" w:ascii="宋体" w:hAnsi="宋体" w:eastAsia="宋体" w:cs="宋体"/>
                <w:i w:val="0"/>
                <w:color w:val="000000"/>
                <w:sz w:val="20"/>
                <w:szCs w:val="20"/>
                <w:u w:val="none"/>
              </w:rPr>
            </w:pPr>
          </w:p>
        </w:tc>
        <w:tc>
          <w:tcPr>
            <w:tcW w:w="715" w:type="dxa"/>
            <w:shd w:val="clear"/>
            <w:vAlign w:val="center"/>
          </w:tcPr>
          <w:p>
            <w:pPr>
              <w:jc w:val="center"/>
              <w:rPr>
                <w:rFonts w:hint="eastAsia" w:ascii="宋体" w:hAnsi="宋体" w:eastAsia="宋体" w:cs="宋体"/>
                <w:b/>
                <w:i w:val="0"/>
                <w:color w:val="000000"/>
                <w:sz w:val="20"/>
                <w:szCs w:val="20"/>
                <w:u w:val="none"/>
              </w:rPr>
            </w:pPr>
          </w:p>
        </w:tc>
        <w:tc>
          <w:tcPr>
            <w:tcW w:w="2153" w:type="dxa"/>
            <w:shd w:val="clear"/>
            <w:vAlign w:val="center"/>
          </w:tcPr>
          <w:p>
            <w:pPr>
              <w:jc w:val="center"/>
              <w:rPr>
                <w:rFonts w:hint="eastAsia" w:ascii="宋体" w:hAnsi="宋体" w:eastAsia="宋体" w:cs="宋体"/>
                <w:i w:val="0"/>
                <w:color w:val="000000"/>
                <w:sz w:val="20"/>
                <w:szCs w:val="20"/>
                <w:u w:val="none"/>
              </w:rPr>
            </w:pPr>
          </w:p>
        </w:tc>
        <w:tc>
          <w:tcPr>
            <w:tcW w:w="1215" w:type="dxa"/>
            <w:shd w:val="clear"/>
            <w:vAlign w:val="center"/>
          </w:tcPr>
          <w:p>
            <w:pPr>
              <w:jc w:val="center"/>
              <w:rPr>
                <w:rFonts w:hint="eastAsia" w:ascii="宋体" w:hAnsi="宋体" w:eastAsia="宋体" w:cs="宋体"/>
                <w:i w:val="0"/>
                <w:color w:val="000000"/>
                <w:sz w:val="20"/>
                <w:szCs w:val="20"/>
                <w:u w:val="none"/>
              </w:rPr>
            </w:pPr>
          </w:p>
        </w:tc>
        <w:tc>
          <w:tcPr>
            <w:tcW w:w="715" w:type="dxa"/>
            <w:shd w:val="clear"/>
            <w:vAlign w:val="center"/>
          </w:tcPr>
          <w:p>
            <w:pPr>
              <w:jc w:val="center"/>
              <w:rPr>
                <w:rFonts w:hint="eastAsia" w:ascii="宋体" w:hAnsi="宋体" w:eastAsia="宋体" w:cs="宋体"/>
                <w:b/>
                <w:i w:val="0"/>
                <w:color w:val="000000"/>
                <w:sz w:val="20"/>
                <w:szCs w:val="20"/>
                <w:u w:val="none"/>
              </w:rPr>
            </w:pPr>
          </w:p>
        </w:tc>
        <w:tc>
          <w:tcPr>
            <w:tcW w:w="2039" w:type="dxa"/>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909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其他专业技术岗位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院（部）名称</w:t>
            </w:r>
          </w:p>
        </w:tc>
        <w:tc>
          <w:tcPr>
            <w:tcW w:w="805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需求专业</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需求数</w:t>
            </w:r>
          </w:p>
        </w:tc>
        <w:tc>
          <w:tcPr>
            <w:tcW w:w="612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现代技术教育中心</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计算机应用技术</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122"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0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图书馆</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图书馆、情报与档案管理</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12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本科阶段专业不限，研究生阶段专业与所需专业一致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35" w:hRule="atLeast"/>
        </w:trPr>
        <w:tc>
          <w:tcPr>
            <w:tcW w:w="1038"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财务处</w:t>
            </w:r>
          </w:p>
        </w:tc>
        <w:tc>
          <w:tcPr>
            <w:tcW w:w="12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会计学、财务管理、审计学</w:t>
            </w:r>
          </w:p>
        </w:tc>
        <w:tc>
          <w:tcPr>
            <w:tcW w:w="7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12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硕士1人，学士2人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国资处</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工程管理类</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12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招标采购工作岗位。含工程造价、工程预算、工程管理等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总务处</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农学类</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12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园林植物与观赏园艺方向；从事：绿化管理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建筑学类、土木工程类</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12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从事：工程造价及工程管理。具有专业硕士或本科学历的应聘者，有实践经验且具有中级职称（含执业资格），年龄放宽至35周岁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电气工程</w:t>
            </w: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12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从事：水电管理。具有专业硕士或本科学历的应聘者，有实践经验且具有中级职称（含执业资格），年龄放宽至35周岁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0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6122"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090" w:type="dxa"/>
            <w:gridSpan w:val="7"/>
            <w:shd w:val="clear"/>
            <w:vAlign w:val="center"/>
          </w:tcPr>
          <w:p>
            <w:pPr>
              <w:widowControl/>
              <w:snapToGrid w:val="0"/>
              <w:spacing w:line="360" w:lineRule="auto"/>
              <w:ind w:firstLine="540" w:firstLineChars="2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备注：1.应聘材料投递邮箱：zp10383@tlu.edu.cn</w:t>
            </w:r>
            <w:r>
              <w:rPr>
                <w:rFonts w:hint="eastAsia" w:ascii="宋体" w:hAnsi="宋体" w:eastAsia="宋体" w:cs="宋体"/>
                <w:kern w:val="0"/>
                <w:sz w:val="27"/>
                <w:szCs w:val="27"/>
                <w:lang w:val="en-US" w:eastAsia="zh-CN"/>
              </w:rPr>
              <w:fldChar w:fldCharType="begin"/>
            </w:r>
            <w:r>
              <w:rPr>
                <w:rFonts w:hint="eastAsia" w:ascii="宋体" w:hAnsi="宋体" w:eastAsia="宋体" w:cs="宋体"/>
                <w:kern w:val="0"/>
                <w:sz w:val="27"/>
                <w:szCs w:val="27"/>
                <w:lang w:val="en-US" w:eastAsia="zh-CN"/>
              </w:rPr>
              <w:instrText xml:space="preserve"> HYPERLINK "mailto:抄送tlxyzp@126.com" </w:instrText>
            </w:r>
            <w:r>
              <w:rPr>
                <w:rFonts w:hint="eastAsia" w:ascii="宋体" w:hAnsi="宋体" w:eastAsia="宋体" w:cs="宋体"/>
                <w:kern w:val="0"/>
                <w:sz w:val="27"/>
                <w:szCs w:val="27"/>
                <w:lang w:val="en-US" w:eastAsia="zh-CN"/>
              </w:rPr>
              <w:fldChar w:fldCharType="separate"/>
            </w:r>
            <w:r>
              <w:rPr>
                <w:rStyle w:val="5"/>
                <w:rFonts w:hint="eastAsia" w:ascii="宋体" w:hAnsi="宋体" w:eastAsia="宋体" w:cs="宋体"/>
                <w:kern w:val="0"/>
                <w:sz w:val="27"/>
                <w:szCs w:val="27"/>
                <w:lang w:val="en-US" w:eastAsia="zh-CN"/>
              </w:rPr>
              <w:t>抄送tlxyzp@126.com</w:t>
            </w:r>
            <w:r>
              <w:rPr>
                <w:rFonts w:hint="eastAsia" w:ascii="宋体" w:hAnsi="宋体" w:eastAsia="宋体" w:cs="宋体"/>
                <w:kern w:val="0"/>
                <w:sz w:val="27"/>
                <w:szCs w:val="27"/>
                <w:lang w:val="en-US" w:eastAsia="zh-CN"/>
              </w:rPr>
              <w:fldChar w:fldCharType="end"/>
            </w:r>
            <w:r>
              <w:rPr>
                <w:rFonts w:hint="eastAsia" w:ascii="宋体" w:hAnsi="宋体" w:eastAsia="宋体" w:cs="宋体"/>
                <w:kern w:val="0"/>
                <w:sz w:val="27"/>
                <w:szCs w:val="27"/>
                <w:lang w:val="en-US" w:eastAsia="zh-CN"/>
              </w:rPr>
              <w:t xml:space="preserve"> （邮件标题:硕博招聘在线+姓名+专业+学历+毕业院校）</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9090" w:type="dxa"/>
            <w:gridSpan w:val="7"/>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2.须在人事处下载中心下载并填写《铜陵学院应聘人员简明情况表》。</w:t>
            </w:r>
          </w:p>
        </w:tc>
      </w:tr>
    </w:tbl>
    <w:p>
      <w:pPr>
        <w:widowControl/>
        <w:snapToGrid w:val="0"/>
        <w:spacing w:line="360" w:lineRule="auto"/>
        <w:ind w:firstLine="567" w:firstLineChars="210"/>
        <w:rPr>
          <w:rFonts w:ascii="宋体" w:hAnsi="宋体" w:eastAsia="宋体" w:cs="宋体"/>
          <w:kern w:val="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C4B23"/>
    <w:rsid w:val="001265A7"/>
    <w:rsid w:val="001F64F0"/>
    <w:rsid w:val="006039FF"/>
    <w:rsid w:val="006D0E88"/>
    <w:rsid w:val="00F46FCE"/>
    <w:rsid w:val="00FC4B23"/>
    <w:rsid w:val="3F630D90"/>
    <w:rsid w:val="7233757B"/>
    <w:rsid w:val="78975BB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32" w:lineRule="auto"/>
      <w:ind w:firstLine="482"/>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 w:type="character" w:styleId="4">
    <w:name w:val="Strong"/>
    <w:basedOn w:val="3"/>
    <w:qFormat/>
    <w:uiPriority w:val="22"/>
    <w:rPr>
      <w:b/>
      <w:bCs/>
    </w:rPr>
  </w:style>
  <w:style w:type="character" w:styleId="5">
    <w:name w:val="Hyperlink"/>
    <w:basedOn w:val="3"/>
    <w:unhideWhenUsed/>
    <w:uiPriority w:val="99"/>
    <w:rPr>
      <w:color w:val="262626"/>
      <w:sz w:val="18"/>
      <w:szCs w:val="18"/>
      <w:u w:val="none"/>
    </w:rPr>
  </w:style>
  <w:style w:type="character" w:customStyle="1" w:styleId="7">
    <w:name w:val="font01"/>
    <w:basedOn w:val="3"/>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805</Words>
  <Characters>4589</Characters>
  <Lines>38</Lines>
  <Paragraphs>10</Paragraphs>
  <TotalTime>0</TotalTime>
  <ScaleCrop>false</ScaleCrop>
  <LinksUpToDate>false</LinksUpToDate>
  <CharactersWithSpaces>5384</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2017-02-24T02:15:00Z</dcterms:created>
  <dc:creator>Sky123.Org</dc:creator>
  <cp:lastModifiedBy>bingbing</cp:lastModifiedBy>
  <dcterms:modified xsi:type="dcterms:W3CDTF">2017-03-24T05:54:19Z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