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cstheme="minorEastAsia"/>
          <w:b/>
          <w:i w:val="0"/>
          <w:caps w:val="0"/>
          <w:color w:val="000000" w:themeColor="text1"/>
          <w:spacing w:val="0"/>
          <w:sz w:val="36"/>
          <w:szCs w:val="36"/>
          <w14:textFill>
            <w14:solidFill>
              <w14:schemeClr w14:val="tx1"/>
            </w14:solidFill>
          </w14:textFill>
        </w:rPr>
      </w:pPr>
      <w:bookmarkStart w:id="0" w:name="_GoBack"/>
      <w:r>
        <w:rPr>
          <w:rFonts w:hint="eastAsia" w:asciiTheme="minorEastAsia" w:hAnsiTheme="minorEastAsia" w:eastAsiaTheme="minorEastAsia" w:cstheme="minorEastAsia"/>
          <w:b/>
          <w:i w:val="0"/>
          <w:caps w:val="0"/>
          <w:color w:val="000000" w:themeColor="text1"/>
          <w:spacing w:val="0"/>
          <w:sz w:val="36"/>
          <w:szCs w:val="36"/>
          <w14:textFill>
            <w14:solidFill>
              <w14:schemeClr w14:val="tx1"/>
            </w14:solidFill>
          </w14:textFill>
        </w:rPr>
        <w:t>扬州工业职业技术学院2018年</w:t>
      </w:r>
    </w:p>
    <w:p>
      <w:pPr>
        <w:jc w:val="center"/>
        <w:rPr>
          <w:rFonts w:hint="eastAsia" w:asciiTheme="minorEastAsia" w:hAnsiTheme="minorEastAsia" w:eastAsiaTheme="minorEastAsia" w:cstheme="minorEastAsia"/>
          <w:b/>
          <w:i w:val="0"/>
          <w:caps w:val="0"/>
          <w:color w:val="000000" w:themeColor="text1"/>
          <w:spacing w:val="0"/>
          <w:sz w:val="36"/>
          <w:szCs w:val="36"/>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36"/>
          <w:szCs w:val="36"/>
          <w14:textFill>
            <w14:solidFill>
              <w14:schemeClr w14:val="tx1"/>
            </w14:solidFill>
          </w14:textFill>
        </w:rPr>
        <w:t>公开招聘工作人员公告（第一批)</w:t>
      </w:r>
    </w:p>
    <w:p>
      <w:pPr>
        <w:jc w:val="center"/>
        <w:rPr>
          <w:rFonts w:hint="eastAsia" w:asciiTheme="minorEastAsia" w:hAnsiTheme="minorEastAsia" w:eastAsiaTheme="minorEastAsia" w:cstheme="minorEastAsia"/>
          <w:b/>
          <w:i w:val="0"/>
          <w:caps w:val="0"/>
          <w:color w:val="000000" w:themeColor="text1"/>
          <w:spacing w:val="0"/>
          <w:sz w:val="36"/>
          <w:szCs w:val="36"/>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扬州工业职业技术学院（全额拨款事业单位，www.ypi.edu.cn）位于获得“联合国最佳人居环境奖”的历史文化名城——江苏省扬州市，坐落在扬州市扬子津科教园区，校园风景秀丽，环境优美,学术氛围浓郁,是读书治学的理想园地。学校隶属于江苏省教育厅，是江苏省示范性高等职业院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学校现有在校生一万余名，其中留学生近200名，面向全国21个省、市、自治区招生，设有化学工程学院、建筑工程学院、机械与汽车工程学院、电气与信息工程学院、经济管理学院、装饰与艺术设计学院以及基础科学部、社会科学部、体育部、继续教育学院、海外教育学院等11个院系（部）。学校共有石油化工、建筑（含核电建筑）、机械、汽车、电气、信息、经管、艺术类等32个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7"/>
          <w:szCs w:val="27"/>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学校占地总面积55万平方米、建筑面积30万平方米，是一所园林化、数字化、生态型的校园。学校现有中央财政支持的国家级实训基地2个，国家职业教育专业教学资源库1个，省级实训基地2个，省级人才培养模式创新实验基地1个，省级工程研发中心1个。现有中央财政支持的高等职业学校提升专业服务能力建设专业2个，省级重点建设专业3个，省级特色专业4个，省高校品牌建设专业1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学校师资队伍结构合理，素质优良。现有教职员工近600人，拥有一批江苏省“333工程”培养对象、江苏省教学指导委员会委员、江苏省高校“青蓝工程”中青年学术带头人和优秀青年骨干教师。专任教师中教授、副教授职称占36%，具有硕士及以上学位教师占教师总数的比例达75%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在长期的办学实践中，学校厚积了较强的办学实力，取得了良好的办学效益和社会声誉。学校先后被授予“江苏省职业教育先进单位”、“江苏省高等学校文明学校”、“江苏省高等学校和谐校园”、“江苏省文明校园”、“江苏省平安校园”、“江苏省大学生创业教育示范校”、“江苏省高等职业院校技能大赛先进集体”、“石油和化工行业高技能人才培养突出贡献单位”等荣誉称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2015年9月，江苏省教育厅和扬州市人民政府签订共同支持扬州工业职业技术学院发展的协议，为学校提供了空间拓展和层次提升等诸多发展机遇。学校将秉承“厚德强能、笃学创新”的校训，以服务行业为特色，以服务地方为重点，面向核电建设产业、石油化工行业和扬州地方经济文化发展，不断完善“服务与成就学生”的育人体系，培养适应行业和地方区域经济建设需要的高素质技术技能型人才为已任，为实现“两个率先”、构建和谐社会作出更大的贡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t>在学院事业发展迅猛发展之际，我们除了公开招聘工作人员以外，还将引进化学工程、机械工程、电气工程、建筑工程、工商管理大类等专业的具有正高级专业技术职务或主持省部级自然科学（社会科学）基金项目且具有副高级专业技术职务或具有博士学历学位且工作两年以上的高层次人才。我们热诚欢迎您加入到扬州工业职业技术学院，尽情施展您的才华，并将提供具有市场竞争力的薪酬待遇（面议）和职业发展机会，欢迎来电、来访。</w:t>
      </w:r>
    </w:p>
    <w:p>
      <w:pPr>
        <w:spacing w:line="220" w:lineRule="atLeas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为更好地选拔优秀适岗人才，充实教育系统人员队伍，优化人员结构，扬州工业职业技术学院（全额拨款事业单位，网址：http//www.ypi.edu.cn）决定面向社会公开招聘工作人员。根据《江苏省事业单位公开招聘人员办法》等规定，现将有关事项公告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一、招聘岗位</w:t>
      </w:r>
    </w:p>
    <w:tbl>
      <w:tblPr>
        <w:tblW w:w="8417" w:type="dxa"/>
        <w:jc w:val="center"/>
        <w:tblCellSpacing w:w="7" w:type="dxa"/>
        <w:tblInd w:w="216"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BABABA"/>
        <w:tblLayout w:type="fixed"/>
        <w:tblCellMar>
          <w:top w:w="15" w:type="dxa"/>
          <w:left w:w="15" w:type="dxa"/>
          <w:bottom w:w="15" w:type="dxa"/>
          <w:right w:w="15" w:type="dxa"/>
        </w:tblCellMar>
      </w:tblPr>
      <w:tblGrid>
        <w:gridCol w:w="403"/>
        <w:gridCol w:w="1065"/>
        <w:gridCol w:w="427"/>
        <w:gridCol w:w="685"/>
        <w:gridCol w:w="622"/>
        <w:gridCol w:w="452"/>
        <w:gridCol w:w="1508"/>
        <w:gridCol w:w="459"/>
        <w:gridCol w:w="491"/>
        <w:gridCol w:w="516"/>
        <w:gridCol w:w="447"/>
        <w:gridCol w:w="675"/>
        <w:gridCol w:w="660"/>
        <w:gridCol w:w="7"/>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BABABA"/>
          <w:tblLayout w:type="fixed"/>
          <w:tblCellMar>
            <w:top w:w="15" w:type="dxa"/>
            <w:left w:w="15" w:type="dxa"/>
            <w:bottom w:w="15" w:type="dxa"/>
            <w:right w:w="15" w:type="dxa"/>
          </w:tblCellMar>
        </w:tblPrEx>
        <w:trPr>
          <w:tblHeader/>
          <w:tblCellSpacing w:w="7" w:type="dxa"/>
          <w:jc w:val="center"/>
        </w:trPr>
        <w:tc>
          <w:tcPr>
            <w:tcW w:w="8387" w:type="dxa"/>
            <w:gridSpan w:val="14"/>
            <w:tcBorders>
              <w:top w:val="nil"/>
              <w:left w:val="nil"/>
              <w:bottom w:val="nil"/>
              <w:right w:val="nil"/>
            </w:tcBorders>
            <w:shd w:val="clear" w:color="auto" w:fill="FFFFFF" w:themeFill="background1"/>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rFonts w:hint="eastAsia" w:asciiTheme="minorEastAsia" w:hAnsiTheme="minorEastAsia" w:eastAsiaTheme="minorEastAsia" w:cstheme="minorEastAsia"/>
                <w:b/>
                <w:color w:val="000000" w:themeColor="text1"/>
                <w:sz w:val="27"/>
                <w:szCs w:val="27"/>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7"/>
                <w:szCs w:val="27"/>
                <w:bdr w:val="none" w:color="auto" w:sz="0" w:space="0"/>
                <w14:textFill>
                  <w14:solidFill>
                    <w14:schemeClr w14:val="tx1"/>
                  </w14:solidFill>
                </w14:textFill>
              </w:rPr>
              <w:t>扬州工业职业技术学院2018年公开招聘工作人员岗位表（A）</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690" w:hRule="atLeast"/>
          <w:tblHeader/>
          <w:tblCellSpacing w:w="7" w:type="dxa"/>
          <w:jc w:val="center"/>
        </w:trPr>
        <w:tc>
          <w:tcPr>
            <w:tcW w:w="38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岗位</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代码</w:t>
            </w:r>
          </w:p>
        </w:tc>
        <w:tc>
          <w:tcPr>
            <w:tcW w:w="1053"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单位</w:t>
            </w:r>
          </w:p>
        </w:tc>
        <w:tc>
          <w:tcPr>
            <w:tcW w:w="415"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经费</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来源</w:t>
            </w:r>
          </w:p>
        </w:tc>
        <w:tc>
          <w:tcPr>
            <w:tcW w:w="673"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招聘岗位</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名称</w:t>
            </w:r>
          </w:p>
        </w:tc>
        <w:tc>
          <w:tcPr>
            <w:tcW w:w="610"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岗位类别</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及其等级</w:t>
            </w:r>
          </w:p>
        </w:tc>
        <w:tc>
          <w:tcPr>
            <w:tcW w:w="440"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人数</w:t>
            </w:r>
          </w:p>
        </w:tc>
        <w:tc>
          <w:tcPr>
            <w:tcW w:w="1496"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学科、专业（方向）</w:t>
            </w:r>
          </w:p>
        </w:tc>
        <w:tc>
          <w:tcPr>
            <w:tcW w:w="447"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学历</w:t>
            </w:r>
          </w:p>
        </w:tc>
        <w:tc>
          <w:tcPr>
            <w:tcW w:w="479"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学位</w:t>
            </w:r>
          </w:p>
        </w:tc>
        <w:tc>
          <w:tcPr>
            <w:tcW w:w="504"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其它资格条件</w:t>
            </w:r>
          </w:p>
        </w:tc>
        <w:tc>
          <w:tcPr>
            <w:tcW w:w="435"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对象</w:t>
            </w:r>
          </w:p>
        </w:tc>
        <w:tc>
          <w:tcPr>
            <w:tcW w:w="663"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单位所</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在地</w:t>
            </w:r>
          </w:p>
        </w:tc>
        <w:tc>
          <w:tcPr>
            <w:tcW w:w="639"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其他说明</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675" w:hRule="atLeast"/>
          <w:tblCellSpacing w:w="7" w:type="dxa"/>
          <w:jc w:val="center"/>
        </w:trPr>
        <w:tc>
          <w:tcPr>
            <w:tcW w:w="3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化学工程  学院</w:t>
            </w:r>
          </w:p>
        </w:tc>
        <w:tc>
          <w:tcPr>
            <w:tcW w:w="41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67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61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44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化学工程类</w:t>
            </w:r>
          </w:p>
        </w:tc>
        <w:tc>
          <w:tcPr>
            <w:tcW w:w="447"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博士研究生</w:t>
            </w:r>
          </w:p>
        </w:tc>
        <w:tc>
          <w:tcPr>
            <w:tcW w:w="47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504"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3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663"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江苏省扬州市华扬西路199号</w:t>
            </w:r>
          </w:p>
        </w:tc>
        <w:tc>
          <w:tcPr>
            <w:tcW w:w="63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1275" w:hRule="atLeast"/>
          <w:tblCellSpacing w:w="7" w:type="dxa"/>
          <w:jc w:val="center"/>
        </w:trPr>
        <w:tc>
          <w:tcPr>
            <w:tcW w:w="3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2</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机械与汽车工程学院</w:t>
            </w:r>
          </w:p>
        </w:tc>
        <w:tc>
          <w:tcPr>
            <w:tcW w:w="41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67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61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44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机械工程类、兵工宇航类（航空方向）、交通工程类（汽车方向、航空机电设备维修方向）</w:t>
            </w:r>
          </w:p>
        </w:tc>
        <w:tc>
          <w:tcPr>
            <w:tcW w:w="447"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博士研究生</w:t>
            </w:r>
          </w:p>
        </w:tc>
        <w:tc>
          <w:tcPr>
            <w:tcW w:w="47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504"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3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66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3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1260" w:hRule="atLeast"/>
          <w:tblCellSpacing w:w="7" w:type="dxa"/>
          <w:jc w:val="center"/>
        </w:trPr>
        <w:tc>
          <w:tcPr>
            <w:tcW w:w="3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3</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电气信息  工程学院</w:t>
            </w:r>
          </w:p>
        </w:tc>
        <w:tc>
          <w:tcPr>
            <w:tcW w:w="41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67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61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44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机电控制类、计算机类、电子科学与技术、信息与通信工程、电路与系统、交通工程类（航空电子电气类）</w:t>
            </w:r>
          </w:p>
        </w:tc>
        <w:tc>
          <w:tcPr>
            <w:tcW w:w="447"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博士研究生</w:t>
            </w:r>
          </w:p>
        </w:tc>
        <w:tc>
          <w:tcPr>
            <w:tcW w:w="47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504"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3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66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3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750" w:hRule="atLeast"/>
          <w:tblCellSpacing w:w="7" w:type="dxa"/>
          <w:jc w:val="center"/>
        </w:trPr>
        <w:tc>
          <w:tcPr>
            <w:tcW w:w="3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4</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基础科学部</w:t>
            </w:r>
          </w:p>
        </w:tc>
        <w:tc>
          <w:tcPr>
            <w:tcW w:w="41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67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61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44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中文文秘类</w:t>
            </w:r>
          </w:p>
        </w:tc>
        <w:tc>
          <w:tcPr>
            <w:tcW w:w="447"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博士研究生</w:t>
            </w:r>
          </w:p>
        </w:tc>
        <w:tc>
          <w:tcPr>
            <w:tcW w:w="47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504"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3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66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3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915" w:hRule="atLeast"/>
          <w:tblCellSpacing w:w="7" w:type="dxa"/>
          <w:jc w:val="center"/>
        </w:trPr>
        <w:tc>
          <w:tcPr>
            <w:tcW w:w="3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5</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社会科学部</w:t>
            </w:r>
          </w:p>
        </w:tc>
        <w:tc>
          <w:tcPr>
            <w:tcW w:w="41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67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61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44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马克思主义基本原理、马克思主义中国化研究</w:t>
            </w:r>
          </w:p>
        </w:tc>
        <w:tc>
          <w:tcPr>
            <w:tcW w:w="447"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博士研究生</w:t>
            </w:r>
          </w:p>
        </w:tc>
        <w:tc>
          <w:tcPr>
            <w:tcW w:w="47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50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中共党员</w:t>
            </w:r>
          </w:p>
        </w:tc>
        <w:tc>
          <w:tcPr>
            <w:tcW w:w="43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66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3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blCellSpacing w:w="7" w:type="dxa"/>
          <w:jc w:val="center"/>
        </w:trPr>
        <w:tc>
          <w:tcPr>
            <w:tcW w:w="8387" w:type="dxa"/>
            <w:gridSpan w:val="14"/>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注：本次招聘学科专业名称参照《江苏省公务员招录考试专业参考目录（2017）》和《学位授予和人才培养学科目录》（2011年颁布）执行。</w:t>
            </w:r>
          </w:p>
        </w:tc>
      </w:tr>
    </w:tbl>
    <w:p>
      <w:pPr>
        <w:rPr>
          <w:rFonts w:hint="eastAsia" w:asciiTheme="minorEastAsia" w:hAnsiTheme="minorEastAsia" w:eastAsiaTheme="minorEastAsia" w:cstheme="minorEastAsia"/>
          <w:vanish/>
          <w:color w:val="000000" w:themeColor="text1"/>
          <w:sz w:val="24"/>
          <w:szCs w:val="24"/>
          <w14:textFill>
            <w14:solidFill>
              <w14:schemeClr w14:val="tx1"/>
            </w14:solidFill>
          </w14:textFill>
        </w:rPr>
      </w:pPr>
    </w:p>
    <w:tbl>
      <w:tblPr>
        <w:tblW w:w="8327" w:type="dxa"/>
        <w:jc w:val="center"/>
        <w:tblCellSpacing w:w="7" w:type="dxa"/>
        <w:tblInd w:w="216"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BABABA"/>
        <w:tblLayout w:type="fixed"/>
        <w:tblCellMar>
          <w:top w:w="15" w:type="dxa"/>
          <w:left w:w="15" w:type="dxa"/>
          <w:bottom w:w="15" w:type="dxa"/>
          <w:right w:w="15" w:type="dxa"/>
        </w:tblCellMar>
      </w:tblPr>
      <w:tblGrid>
        <w:gridCol w:w="382"/>
        <w:gridCol w:w="1065"/>
        <w:gridCol w:w="564"/>
        <w:gridCol w:w="564"/>
        <w:gridCol w:w="564"/>
        <w:gridCol w:w="404"/>
        <w:gridCol w:w="1193"/>
        <w:gridCol w:w="494"/>
        <w:gridCol w:w="564"/>
        <w:gridCol w:w="820"/>
        <w:gridCol w:w="635"/>
        <w:gridCol w:w="501"/>
        <w:gridCol w:w="570"/>
        <w:gridCol w:w="7"/>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BABABA"/>
          <w:tblLayout w:type="fixed"/>
          <w:tblCellMar>
            <w:top w:w="15" w:type="dxa"/>
            <w:left w:w="15" w:type="dxa"/>
            <w:bottom w:w="15" w:type="dxa"/>
            <w:right w:w="15" w:type="dxa"/>
          </w:tblCellMar>
        </w:tblPrEx>
        <w:trPr>
          <w:tblHeader/>
          <w:tblCellSpacing w:w="7" w:type="dxa"/>
          <w:jc w:val="center"/>
        </w:trPr>
        <w:tc>
          <w:tcPr>
            <w:tcW w:w="8297" w:type="dxa"/>
            <w:gridSpan w:val="14"/>
            <w:tcBorders>
              <w:top w:val="nil"/>
              <w:left w:val="nil"/>
              <w:bottom w:val="nil"/>
              <w:right w:val="nil"/>
            </w:tcBorders>
            <w:shd w:val="clear" w:color="auto" w:fill="FFFFFF" w:themeFill="background1"/>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rFonts w:hint="eastAsia" w:asciiTheme="minorEastAsia" w:hAnsiTheme="minorEastAsia" w:eastAsiaTheme="minorEastAsia" w:cstheme="minorEastAsia"/>
                <w:b/>
                <w:color w:val="000000" w:themeColor="text1"/>
                <w:sz w:val="27"/>
                <w:szCs w:val="27"/>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7"/>
                <w:szCs w:val="27"/>
                <w:bdr w:val="none" w:color="auto" w:sz="0" w:space="0"/>
                <w14:textFill>
                  <w14:solidFill>
                    <w14:schemeClr w14:val="tx1"/>
                  </w14:solidFill>
                </w14:textFill>
              </w:rPr>
              <w:t>扬州工业职业技术学院2018年公开招聘工作人员岗位表（B）</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690" w:hRule="atLeast"/>
          <w:tblHeader/>
          <w:tblCellSpacing w:w="7" w:type="dxa"/>
          <w:jc w:val="center"/>
        </w:trPr>
        <w:tc>
          <w:tcPr>
            <w:tcW w:w="361"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岗位</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代码</w:t>
            </w:r>
          </w:p>
        </w:tc>
        <w:tc>
          <w:tcPr>
            <w:tcW w:w="1053"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单位</w:t>
            </w:r>
          </w:p>
        </w:tc>
        <w:tc>
          <w:tcPr>
            <w:tcW w:w="55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经费来源</w:t>
            </w:r>
          </w:p>
        </w:tc>
        <w:tc>
          <w:tcPr>
            <w:tcW w:w="55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招聘岗位名称</w:t>
            </w:r>
          </w:p>
        </w:tc>
        <w:tc>
          <w:tcPr>
            <w:tcW w:w="55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岗位类别</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及其等级</w:t>
            </w:r>
          </w:p>
        </w:tc>
        <w:tc>
          <w:tcPr>
            <w:tcW w:w="39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人数</w:t>
            </w:r>
          </w:p>
        </w:tc>
        <w:tc>
          <w:tcPr>
            <w:tcW w:w="1181"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学科、专业（方向）</w:t>
            </w:r>
          </w:p>
        </w:tc>
        <w:tc>
          <w:tcPr>
            <w:tcW w:w="48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学历</w:t>
            </w:r>
          </w:p>
        </w:tc>
        <w:tc>
          <w:tcPr>
            <w:tcW w:w="552"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学位</w:t>
            </w:r>
          </w:p>
        </w:tc>
        <w:tc>
          <w:tcPr>
            <w:tcW w:w="808"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其它资格条件</w:t>
            </w:r>
          </w:p>
        </w:tc>
        <w:tc>
          <w:tcPr>
            <w:tcW w:w="623"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单位所在</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地址</w:t>
            </w:r>
          </w:p>
        </w:tc>
        <w:tc>
          <w:tcPr>
            <w:tcW w:w="489"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招聘</w:t>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对象</w:t>
            </w:r>
          </w:p>
        </w:tc>
        <w:tc>
          <w:tcPr>
            <w:tcW w:w="549" w:type="dxa"/>
            <w:shd w:val="clear" w:color="auto" w:fill="FFFFFF" w:themeFill="background1"/>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i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kern w:val="0"/>
                <w:sz w:val="21"/>
                <w:szCs w:val="21"/>
                <w:lang w:val="en-US" w:eastAsia="zh-CN" w:bidi="ar"/>
                <w14:textFill>
                  <w14:solidFill>
                    <w14:schemeClr w14:val="tx1"/>
                  </w14:solidFill>
                </w14:textFill>
              </w:rPr>
              <w:t>其他说明</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88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机械与汽车工程学院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车辆工程、汽车电子工程、载运工具运用工程（汽车运用方向）</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具有3年及以上企业工作经历</w:t>
            </w:r>
          </w:p>
        </w:tc>
        <w:tc>
          <w:tcPr>
            <w:tcW w:w="623"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江苏省扬州市华扬西路199号</w:t>
            </w: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社会人员</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570"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2</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机械与汽车工程学院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2</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机械工程</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115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3</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电气与信息工程学院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电路与系统、电子科学与技术、信号与信息处理、信息与通信工程、通信与信息系统、集成电路设计</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具有3年及以上企业工作经历</w:t>
            </w: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社会人员</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780"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4</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电气与信息工程学院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计算机类、智能计算与系统、信息安全、信息网络</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780"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5</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建筑工程学院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结构工程、市政工程、防灾减灾工程及防护工程、桥梁与隧道工程、建筑设计及其理论</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具有3年及以上建筑企业工作经历</w:t>
            </w: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社会人员</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85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6</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建筑工程学院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结构工程、市政工程、防灾减灾工程及防护工程、桥梁与隧道工程、建筑设计及其理论</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70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7</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经济管理  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2</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会计(学)、财务管理、金融（学）</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720"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8</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装饰与艺术设计学院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风景园林类</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具有3年及以上企业工作经历</w:t>
            </w: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社会人员</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58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9</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体育部</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民族传统体育学（龙狮方向等）</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不限</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 w:type="dxa"/>
          <w:trHeight w:val="645" w:hRule="atLeast"/>
          <w:tblCellSpacing w:w="7" w:type="dxa"/>
          <w:jc w:val="center"/>
        </w:trPr>
        <w:tc>
          <w:tcPr>
            <w:tcW w:w="3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10</w:t>
            </w:r>
          </w:p>
        </w:tc>
        <w:tc>
          <w:tcPr>
            <w:tcW w:w="105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海外教育学院</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全额拨款</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专任教师</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专业技术岗</w:t>
            </w:r>
          </w:p>
        </w:tc>
        <w:tc>
          <w:tcPr>
            <w:tcW w:w="3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2</w:t>
            </w:r>
          </w:p>
        </w:tc>
        <w:tc>
          <w:tcPr>
            <w:tcW w:w="118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汉语国际教育、对外汉语、翻译（英语）等</w:t>
            </w:r>
          </w:p>
        </w:tc>
        <w:tc>
          <w:tcPr>
            <w:tcW w:w="48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硕士研究生及以上</w:t>
            </w:r>
          </w:p>
        </w:tc>
        <w:tc>
          <w:tcPr>
            <w:tcW w:w="55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具有相应学位</w:t>
            </w:r>
          </w:p>
        </w:tc>
        <w:tc>
          <w:tcPr>
            <w:tcW w:w="80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具有1年及以上工作经历</w:t>
            </w:r>
          </w:p>
        </w:tc>
        <w:tc>
          <w:tcPr>
            <w:tcW w:w="623" w:type="dxa"/>
            <w:vMerge w:val="continue"/>
            <w:shd w:val="clear" w:color="auto" w:fill="FFFFFF"/>
            <w:tcMar>
              <w:top w:w="75" w:type="dxa"/>
              <w:left w:w="75" w:type="dxa"/>
              <w:bottom w:w="75" w:type="dxa"/>
              <w:right w:w="75" w:type="dxa"/>
            </w:tcMar>
            <w:vAlign w:val="center"/>
          </w:tcPr>
          <w:p>
            <w:pPr>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p>
        </w:tc>
        <w:tc>
          <w:tcPr>
            <w:tcW w:w="48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社会人员</w:t>
            </w:r>
          </w:p>
        </w:tc>
        <w:tc>
          <w:tcPr>
            <w:tcW w:w="54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引进高层次人才</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blCellSpacing w:w="7" w:type="dxa"/>
          <w:jc w:val="center"/>
        </w:trPr>
        <w:tc>
          <w:tcPr>
            <w:tcW w:w="8297" w:type="dxa"/>
            <w:gridSpan w:val="14"/>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Theme="minorEastAsia" w:hAnsiTheme="minorEastAsia" w:eastAsiaTheme="minorEastAsia" w:cstheme="minorEastAsia"/>
                <w:b w:val="0"/>
                <w:i w:val="0"/>
                <w:caps w:val="0"/>
                <w:color w:val="000000" w:themeColor="text1"/>
                <w:spacing w:val="0"/>
                <w:sz w:val="18"/>
                <w:szCs w:val="1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18"/>
                <w:szCs w:val="18"/>
                <w:bdr w:val="none" w:color="auto" w:sz="0" w:space="0"/>
                <w:lang w:val="en-US" w:eastAsia="zh-CN" w:bidi="ar"/>
                <w14:textFill>
                  <w14:solidFill>
                    <w14:schemeClr w14:val="tx1"/>
                  </w14:solidFill>
                </w14:textFill>
              </w:rPr>
              <w:t>注：本次招聘学科专业名称参照《江苏省公务员招录考试专业参考目录（2017）》和《学位授予和人才培养学科目录》（2011年颁布）执行。</w:t>
            </w:r>
          </w:p>
        </w:tc>
      </w:tr>
    </w:tbl>
    <w:p>
      <w:pPr>
        <w:keepNext w:val="0"/>
        <w:keepLines w:val="0"/>
        <w:widowControl/>
        <w:suppressLineNumbers w:val="0"/>
        <w:jc w:val="left"/>
        <w:rPr>
          <w:rFonts w:hint="eastAsia" w:asciiTheme="minorEastAsia" w:hAnsiTheme="minorEastAsia" w:eastAsiaTheme="minorEastAsia" w:cstheme="minorEastAsia"/>
          <w:color w:val="000000" w:themeColor="text1"/>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二、报考条件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1、具有中华人民共和国国籍，遵守中华人民共和国宪法和法律；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2、遵纪守法，品行端正，团结同志，廉洁奉公；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3、适应岗位要求的身体条件，硕士研究生的年龄在35周岁以下（1983年1月1日之后出生），博士研究生或副高及以上职称人员的年龄在40周岁以下（1978年1月1日之后出生），博士研究生且具有副高及以上专业技术职务人员的年龄在45周岁以下（1973年1月1日之后出生），岗位表（见附件）中有年龄要求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4、具备报考岗位要求的资格条件；长期招聘岗位的应届毕业生必须在2018年12月31日前毕业并取得相应学历学位证书；短期招聘岗位的应届毕业生必须在2018年7月31日前毕业并取得相应学历学位证书；计算工作经历的基准日期为：2018年3月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5、取得祖国大陆全日制普通高校学历的台湾学生和取得祖国大陆承认学历的其他台湾居民应聘时按苏人社发[2012]418号文件的有关规定执行。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三、报名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（一）报名时间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岗位表A为长期招聘岗位表，学校根据岗位报名情况，于公告发布10个工作日后启动考核程序，岗位招满即止，</w:t>
      </w: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未招满的岗位报名有效期截止2018年12月29日</w:t>
      </w: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。学校人事处将及时公布每期招聘结果，并于每季度末在江苏省人力资源与社会保障厅网站通报岗位招聘进展和空缺等情况。岗位表B为短期招聘岗位表。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1、岗位表A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报名、照片上传时间：2018年3月7日9:00-12月29日16:00；资格初审时间：2018年3月7日9:00-12月30日16:00。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2、岗位表B</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报名、照片上传时间：2018年3月7日9:00-3月16日16:00；资格初审时间：2018年3月7日9:00-3月17日16:00。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（二）报名方式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应聘人员通过“江苏省属事业单位公开招聘平台”报名，照片上传、资格初审和缴费确认，均通过网络同步进行。报名网址：</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instrText xml:space="preserve"> HYPERLINK "http://sydwzk.jshrss.gov.cn/" \t "http://zhaopin.91boshi.net/html/ypiedu/_blank" </w:instrTex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separate"/>
      </w:r>
      <w:r>
        <w:rPr>
          <w:rStyle w:val="10"/>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t>http://sydwzk.jshrss.gov.cn</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（江苏省属事业单位公开招聘平台）。</w:t>
      </w:r>
      <w:r>
        <w:rPr>
          <w:rFonts w:hint="eastAsia" w:asciiTheme="minorEastAsia" w:hAnsiTheme="minorEastAsia" w:eastAsiaTheme="minorEastAsia" w:cstheme="minorEastAsia"/>
          <w:b w:val="0"/>
          <w:i w:val="0"/>
          <w:caps w:val="0"/>
          <w:color w:val="000000" w:themeColor="text1"/>
          <w:spacing w:val="0"/>
          <w:sz w:val="22"/>
          <w:szCs w:val="22"/>
          <w:bdr w:val="none" w:color="auto" w:sz="0" w:space="0"/>
          <w:lang w:eastAsia="zh-CN"/>
          <w14:textFill>
            <w14:solidFill>
              <w14:schemeClr w14:val="tx1"/>
            </w14:solidFill>
          </w14:textFill>
        </w:rPr>
        <w:t>报名邮箱：rsc_fu@163.com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（三）网上确认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1、应聘人员网上提交报名信息24小时后（节假日顺延）可到报名网站查询是否通过学校资格初审。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2、本次公开招聘不收报名费和考试费，通过初审即报名成功。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3、未按时在网上确认报名资格、上传照片的视为报名无效。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（四）报名注意事项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1、应聘人员按岗位要求和网上提示，如实填写有关信息，并上传本人近期免冠正面二寸（35×45毫米）证件照，jpg格式，大小为20Kb以下。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学校根据应聘人员提供的信息进行审核。应聘人员弄虚作假的，一经查实，即取消应聘资格。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2、长期招聘岗位不设开考比例；短期招聘岗位的开考比例为1︰3，如未达到开考比例，将核减或取消该招聘岗位，并在省人力资源社会保障网上公告。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3、应聘人员只能从岗位表选择一个岗位报名。资格初审通过后，不可更改报名信息。未通过资格初审的应聘人员，在报名期内，可以改报符合资格条件的其他岗位。应聘人员要使用在有效期内的第二代居民身份证进行报名，报名与考试使用的身份证必须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4、有下列情形之一的，不得应聘：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①现役军人、普通高校在读非应届毕业生；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②应聘人员与招聘单位负责人员有夫妻关系、直系血亲关系、三代以内旁系血亲关系或者近姻亲关系的，以及应聘人员与现有在岗人员存在上述关系，到岗后又有直接上下级领导关系的；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③尚未解除纪律处分或者正在接受纪律审查的人员、刑事处罚期限未满或者涉嫌违法犯罪正在接受调查的人员；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④国家和省另有规定不得应聘到事业单位有关岗位的人员。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三、考试办法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（一）资格复审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复审工作在考试前进行，复审不通过人员不得参加考试。复审时须查看应聘人员有关材料的原件。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1、身份证；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应届毕业生须提供所在院校出具的省教育厅统一印制的《毕业生双向选择就业推荐表》、成绩单；非应届毕业生须提供已取得的学历和学位证书；留学回国人员需提供驻外大使馆出具的《留学回国人员证明》；在国（境）外取得学历学位的需提供教育部留学服务中心出具的《国（境）外学历学位认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3、应聘者需提供本人真实的科研成果及各类获奖证书等相关佐证材料。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2"/>
          <w:szCs w:val="22"/>
          <w:bdr w:val="none" w:color="auto" w:sz="0" w:space="0"/>
          <w14:textFill>
            <w14:solidFill>
              <w14:schemeClr w14:val="tx1"/>
            </w14:solidFill>
          </w14:textFill>
        </w:rPr>
        <w:t>（二）考试方法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考试方式为试讲和面试。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1、在开考前三个工作日以电话、短信或邮件的方式通知应聘人员具体时间和地点。应聘人员应按照规定的时间和地点参加考试，否则按弃考处理。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通过报名资格审查的人员全部参加试讲。试讲办法由学校制定并以电子邮件方式告知应聘人员。试讲主要测试应聘人员的教育教学能力，对课堂教学目标、教学内容、教学方法、仪态举止、教学组织及教学效果作出评价，同时考核应聘人员的专业知识结构。试讲满分为100分，合格线为60分。试讲成绩当场告知应聘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在试讲成绩合格人员中，从高分到低分按各招聘岗位拟聘用人数1：3的比例确定参加面试人选，不足比例的，按合格线以上实有人数确定。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3、面试按照学校自行制定的面试办法执行，主要测试应聘人员的思想品德、知识结构、语言表达、应变能力以及分析问题、解决问题的能力等。面试满分为100分，合格线为60分。面试成绩当场告知考生。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4、采用百分制计算进入面试环节的应聘人员总成绩。试讲成绩按40%、面试成绩按60%计入最终的总成绩。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5、本次招考工作（长期招聘岗位自考核之日起至公示拟聘用人选名单，短期招聘岗位自报名截止之日起至公示拟聘用人选名单）计划在60个工作日内完成。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四、聘用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考试结束后，在各单项考试（测试）合格的人员中，根据总成绩计算方法确定应聘人员的总成绩，按招聘岗位拟招聘人数1：1的比例从高分到低分（总成绩相同时根据面试成绩从高分到低分）确定参加体检人员。体检标准参照《国家公务员录用体检通用标准（试行）》执行，其中应聘教师的，还需符合江苏省教师资格认定体检要求。因体检不合格等原因出现招聘岗位空缺时，一次性递补人员参加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对体检合格人员由用人单位组织考核考察，并根据考核和体检结果，确定拟聘用人员名单。拟聘用人员名单将在江苏省人力资源和社会保障网站上公示7个工作日。公示内容包括招聘单位编号、招聘单位、岗位名称、拟聘用人员姓名、现工作或学习单位、招聘考试的各项成绩、总成绩、排名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对公示无异议人员，经省人力资源和社会保障部门备案后，由学校为其办理有关聘用手续，并与其签订聘用合同，并约定试用期。在学校规定期限内不与学校签订聘用合同或提供不了与原单位解除关系证明或应届毕业生未能按期取得相应学历学位证书的，取消聘用资格。试用期满考核合格，予以定岗定级；考核不合格者，取消聘用资格，解除聘用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五、招聘政策咨询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聘用人员享受国家规定的事业工资和保险待遇，博士研究生和副高级及以上专业技术职务人员可享受安家费和科研启动费等待遇，详细情况请登录扬州工业职业技术学院人事处网站(http://rsc.ypi.edu.cn/)查询。扬州工业职业技术学院人事处负责回答此次招聘政策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咨询电话：0514-87433015、0514-87433021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联 系 人：贾老师、张老师、罗老师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六、招聘工作监督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中共扬州工业职业技术学院纪律检查委员会、学院监察处对此次招聘工作进行纪律监督。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纪委、监察处电话：0514-87433017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联系人：刘老师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邮箱：</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instrText xml:space="preserve"> HYPERLINK "mailto:liuxm@ypi.edu.cn" </w:instrTex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separate"/>
      </w:r>
      <w:r>
        <w:rPr>
          <w:rStyle w:val="10"/>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t>liuxm@ypi.edu.cn</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2"/>
          <w:szCs w:val="22"/>
          <w:bdr w:val="none" w:color="auto" w:sz="0" w:space="0"/>
          <w14:textFill>
            <w14:solidFill>
              <w14:schemeClr w14:val="tx1"/>
            </w14:solidFill>
          </w14:textFill>
        </w:rPr>
        <w:t>七、招聘工作举报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江苏省教育厅、江苏省人力资源和社会保障厅接受事业单位公开招聘工作举报。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1、江苏省教育厅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举报信箱：</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instrText xml:space="preserve"> HYPERLINK "mailto:jytrsc@ec.js.edu.cn" </w:instrTex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separate"/>
      </w:r>
      <w:r>
        <w:rPr>
          <w:rStyle w:val="10"/>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t>jytrsc@ec.js.edu.cn</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   举报电话、传真：025-83335135。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2、江苏省人力资源和社会保障厅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举报信箱：</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instrText xml:space="preserve"> HYPERLINK "mailto:syzpjb@jshrss.gov.cn" </w:instrTex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separate"/>
      </w:r>
      <w:r>
        <w:rPr>
          <w:rStyle w:val="10"/>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t>syzpjb@jshrss.gov.cn</w:t>
      </w:r>
      <w:r>
        <w:rPr>
          <w:rFonts w:hint="eastAsia" w:asciiTheme="minorEastAsia" w:hAnsiTheme="minorEastAsia" w:eastAsiaTheme="minorEastAsia" w:cstheme="minorEastAsia"/>
          <w:b w:val="0"/>
          <w:i w:val="0"/>
          <w:caps w:val="0"/>
          <w:color w:val="000000" w:themeColor="text1"/>
          <w:spacing w:val="0"/>
          <w:sz w:val="22"/>
          <w:szCs w:val="22"/>
          <w:u w:val="none"/>
          <w:bdr w:val="none" w:color="auto" w:sz="0" w:space="0"/>
          <w14:textFill>
            <w14:solidFill>
              <w14:schemeClr w14:val="tx1"/>
            </w14:solidFill>
          </w14:textFill>
        </w:rPr>
        <w:fldChar w:fldCharType="end"/>
      </w: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   举报电话、传真：025-83236075。</w:t>
      </w:r>
    </w:p>
    <w:p>
      <w:pPr>
        <w:keepNext w:val="0"/>
        <w:keepLines w:val="0"/>
        <w:widowControl/>
        <w:suppressLineNumbers w:val="0"/>
        <w:ind w:left="0" w:firstLine="0"/>
        <w:jc w:val="center"/>
        <w:rPr>
          <w:rFonts w:hint="eastAsia" w:asciiTheme="minorEastAsia" w:hAnsiTheme="minorEastAsia" w:eastAsiaTheme="minorEastAsia" w:cstheme="minorEastAsia"/>
          <w:b w:val="0"/>
          <w:i w:val="0"/>
          <w:caps w:val="0"/>
          <w:color w:val="000000" w:themeColor="text1"/>
          <w:spacing w:val="0"/>
          <w:sz w:val="27"/>
          <w:szCs w:val="27"/>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jc w:val="right"/>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22"/>
          <w:szCs w:val="22"/>
          <w:bdr w:val="none" w:color="auto" w:sz="0" w:space="0"/>
          <w14:textFill>
            <w14:solidFill>
              <w14:schemeClr w14:val="tx1"/>
            </w14:solidFill>
          </w14:textFill>
        </w:rPr>
        <w:t>扬州工业职业技术学院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0" w:right="0" w:firstLine="450"/>
        <w:jc w:val="right"/>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right="0"/>
        <w:jc w:val="left"/>
        <w:rPr>
          <w:rFonts w:hint="eastAsia" w:asciiTheme="minorEastAsia" w:hAnsiTheme="minorEastAsia" w:eastAsiaTheme="minorEastAsia" w:cstheme="minorEastAsia"/>
          <w:b w:val="0"/>
          <w:i w:val="0"/>
          <w:caps w:val="0"/>
          <w:color w:val="000000" w:themeColor="text1"/>
          <w:spacing w:val="0"/>
          <w:sz w:val="22"/>
          <w:szCs w:val="22"/>
          <w14:textFill>
            <w14:solidFill>
              <w14:schemeClr w14:val="tx1"/>
            </w14:solidFill>
          </w14:textFill>
        </w:rPr>
      </w:pPr>
    </w:p>
    <w:bookmarkEnd w:id="0"/>
    <w:sectPr>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D31D50"/>
    <w:rsid w:val="002C529A"/>
    <w:rsid w:val="00323B43"/>
    <w:rsid w:val="003D37D8"/>
    <w:rsid w:val="00426133"/>
    <w:rsid w:val="004358AB"/>
    <w:rsid w:val="005E6BE7"/>
    <w:rsid w:val="006B5628"/>
    <w:rsid w:val="006D7582"/>
    <w:rsid w:val="00797BA9"/>
    <w:rsid w:val="008B7726"/>
    <w:rsid w:val="009C7E8C"/>
    <w:rsid w:val="00CA755C"/>
    <w:rsid w:val="00CC20B9"/>
    <w:rsid w:val="00D00573"/>
    <w:rsid w:val="00D31D50"/>
    <w:rsid w:val="00D406FE"/>
    <w:rsid w:val="00F23BD2"/>
    <w:rsid w:val="087F641A"/>
    <w:rsid w:val="0B492C0A"/>
    <w:rsid w:val="0C402D20"/>
    <w:rsid w:val="0D230AB8"/>
    <w:rsid w:val="0D39022A"/>
    <w:rsid w:val="0D506DD9"/>
    <w:rsid w:val="103410FB"/>
    <w:rsid w:val="12745D44"/>
    <w:rsid w:val="14092496"/>
    <w:rsid w:val="152516E9"/>
    <w:rsid w:val="163B28A7"/>
    <w:rsid w:val="1C765EF1"/>
    <w:rsid w:val="20B56F8D"/>
    <w:rsid w:val="223570D3"/>
    <w:rsid w:val="22996B35"/>
    <w:rsid w:val="25B934CB"/>
    <w:rsid w:val="26662961"/>
    <w:rsid w:val="2C807F98"/>
    <w:rsid w:val="31B10292"/>
    <w:rsid w:val="33423681"/>
    <w:rsid w:val="36202A91"/>
    <w:rsid w:val="3A4C67D2"/>
    <w:rsid w:val="3AFC596C"/>
    <w:rsid w:val="3EBA2E80"/>
    <w:rsid w:val="3FD34CC0"/>
    <w:rsid w:val="42DF3519"/>
    <w:rsid w:val="42E31F1F"/>
    <w:rsid w:val="476B53ED"/>
    <w:rsid w:val="50CE6CDB"/>
    <w:rsid w:val="52451A9B"/>
    <w:rsid w:val="60101A12"/>
    <w:rsid w:val="645E33A3"/>
    <w:rsid w:val="6471782F"/>
    <w:rsid w:val="647F3E38"/>
    <w:rsid w:val="64A12C08"/>
    <w:rsid w:val="6AC067F2"/>
    <w:rsid w:val="700D76E7"/>
    <w:rsid w:val="716A2752"/>
    <w:rsid w:val="71CD4AD6"/>
    <w:rsid w:val="75D66F06"/>
    <w:rsid w:val="76D70BA4"/>
    <w:rsid w:val="76F82DBB"/>
    <w:rsid w:val="7C35172F"/>
    <w:rsid w:val="7D8C3CD8"/>
    <w:rsid w:val="7E9B5437"/>
    <w:rsid w:val="7FEE2F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link w:val="12"/>
    <w:qFormat/>
    <w:uiPriority w:val="9"/>
    <w:pPr>
      <w:adjustRightInd/>
      <w:snapToGrid/>
      <w:spacing w:before="100" w:beforeAutospacing="1" w:after="100" w:afterAutospacing="1"/>
      <w:outlineLvl w:val="4"/>
    </w:pPr>
    <w:rPr>
      <w:rFonts w:ascii="宋体" w:hAnsi="宋体" w:eastAsia="宋体" w:cs="宋体"/>
      <w:b/>
      <w:bCs/>
      <w:sz w:val="20"/>
      <w:szCs w:val="20"/>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4"/>
    <w:unhideWhenUsed/>
    <w:qFormat/>
    <w:uiPriority w:val="99"/>
    <w:pPr>
      <w:spacing w:after="0"/>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unhideWhenUsed/>
    <w:qFormat/>
    <w:uiPriority w:val="99"/>
    <w:rPr>
      <w:color w:val="800080"/>
      <w:u w:val="single"/>
    </w:rPr>
  </w:style>
  <w:style w:type="character" w:styleId="10">
    <w:name w:val="Hyperlink"/>
    <w:basedOn w:val="7"/>
    <w:unhideWhenUsed/>
    <w:qFormat/>
    <w:uiPriority w:val="99"/>
    <w:rPr>
      <w:color w:val="0000FF" w:themeColor="hyperlink"/>
      <w:u w:val="single"/>
    </w:rPr>
  </w:style>
  <w:style w:type="character" w:customStyle="1" w:styleId="12">
    <w:name w:val="标题 5 Char"/>
    <w:basedOn w:val="7"/>
    <w:link w:val="4"/>
    <w:qFormat/>
    <w:uiPriority w:val="9"/>
    <w:rPr>
      <w:rFonts w:ascii="宋体" w:hAnsi="宋体" w:eastAsia="宋体" w:cs="宋体"/>
      <w:b/>
      <w:bCs/>
      <w:sz w:val="20"/>
      <w:szCs w:val="20"/>
    </w:rPr>
  </w:style>
  <w:style w:type="character" w:customStyle="1" w:styleId="13">
    <w:name w:val="apple-converted-space"/>
    <w:basedOn w:val="7"/>
    <w:qFormat/>
    <w:uiPriority w:val="0"/>
  </w:style>
  <w:style w:type="character" w:customStyle="1" w:styleId="14">
    <w:name w:val="批注框文本 Char"/>
    <w:basedOn w:val="7"/>
    <w:link w:val="5"/>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685</Words>
  <Characters>3908</Characters>
  <Lines>32</Lines>
  <Paragraphs>9</Paragraphs>
  <ScaleCrop>false</ScaleCrop>
  <LinksUpToDate>false</LinksUpToDate>
  <CharactersWithSpaces>4584</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2018-03-27T02:04:40Z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