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 w:cs="方正兰亭细黑_GBK"/>
          <w:sz w:val="32"/>
          <w:szCs w:val="32"/>
        </w:rPr>
      </w:pPr>
      <w:r>
        <w:rPr>
          <w:rFonts w:hint="eastAsia" w:ascii="黑体" w:hAnsi="黑体" w:eastAsia="黑体" w:cs="方正兰亭细黑_GBK"/>
          <w:sz w:val="32"/>
          <w:szCs w:val="32"/>
        </w:rPr>
        <w:t>上海海洋大学第二届“创新生涯·驱动人生”创业训练营</w:t>
      </w:r>
    </w:p>
    <w:p>
      <w:pPr>
        <w:spacing w:line="300" w:lineRule="auto"/>
        <w:jc w:val="center"/>
        <w:rPr>
          <w:rFonts w:ascii="黑体" w:hAnsi="黑体" w:eastAsia="黑体" w:cs="方正兰亭粗黑_GBK"/>
          <w:sz w:val="32"/>
          <w:szCs w:val="32"/>
        </w:rPr>
      </w:pPr>
      <w:r>
        <w:rPr>
          <w:rFonts w:hint="eastAsia" w:ascii="黑体" w:hAnsi="黑体" w:eastAsia="黑体" w:cs="方正兰亭粗黑_GBK"/>
          <w:sz w:val="32"/>
          <w:szCs w:val="32"/>
        </w:rPr>
        <w:t>招生通知</w:t>
      </w:r>
      <w:bookmarkStart w:id="0" w:name="_GoBack"/>
      <w:bookmarkEnd w:id="0"/>
    </w:p>
    <w:p>
      <w:pPr>
        <w:spacing w:line="300" w:lineRule="auto"/>
        <w:jc w:val="left"/>
        <w:rPr>
          <w:rFonts w:cs="方正兰亭细黑_GBK" w:asciiTheme="minorEastAsia" w:hAnsiTheme="minorEastAsia" w:eastAsiaTheme="minorEastAsia"/>
          <w:sz w:val="22"/>
        </w:rPr>
      </w:pPr>
    </w:p>
    <w:p>
      <w:pPr>
        <w:spacing w:line="324" w:lineRule="auto"/>
        <w:ind w:firstLine="480" w:firstLineChars="200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kern w:val="0"/>
          <w:sz w:val="24"/>
        </w:rPr>
        <w:t>为贯彻落实教育部《关于做好2018届全国普通高等学校毕业生就业创业工作的通知》与国务院办公厅《关于深化高等学校创新创业教育改革的实施意见》（</w:t>
      </w:r>
      <w:r>
        <w:rPr>
          <w:rFonts w:hint="eastAsia" w:cs="方正兰亭细黑_GBK" w:asciiTheme="minorEastAsia" w:hAnsiTheme="minorEastAsia" w:eastAsiaTheme="minorEastAsia"/>
          <w:color w:val="000000"/>
          <w:sz w:val="24"/>
        </w:rPr>
        <w:t>国办发〔2015〕36号</w:t>
      </w:r>
      <w:r>
        <w:rPr>
          <w:rFonts w:hint="eastAsia" w:cs="方正兰亭细黑_GBK" w:asciiTheme="minorEastAsia" w:hAnsiTheme="minorEastAsia" w:eastAsiaTheme="minorEastAsia"/>
          <w:kern w:val="0"/>
          <w:sz w:val="24"/>
        </w:rPr>
        <w:t>）文件精神，强化创新创业实践，</w:t>
      </w:r>
      <w:r>
        <w:rPr>
          <w:rFonts w:hint="eastAsia" w:cs="方正兰亭细黑_GBK" w:asciiTheme="minorEastAsia" w:hAnsiTheme="minorEastAsia" w:eastAsiaTheme="minorEastAsia"/>
          <w:sz w:val="24"/>
        </w:rPr>
        <w:t>提高学生创新意识、创业能力和团队协作意识。</w:t>
      </w:r>
      <w:r>
        <w:rPr>
          <w:rFonts w:hint="eastAsia" w:cs="方正兰亭细黑_GBK" w:asciiTheme="minorEastAsia" w:hAnsiTheme="minorEastAsia" w:eastAsiaTheme="minorEastAsia"/>
          <w:kern w:val="0"/>
          <w:sz w:val="24"/>
        </w:rPr>
        <w:t>上海海洋大学就业创业服务中心</w:t>
      </w:r>
      <w:r>
        <w:rPr>
          <w:rFonts w:hint="eastAsia" w:cs="方正兰亭细黑_GBK" w:asciiTheme="minorEastAsia" w:hAnsiTheme="minorEastAsia" w:eastAsiaTheme="minorEastAsia"/>
          <w:sz w:val="24"/>
        </w:rPr>
        <w:t>整合校内外资源，与</w:t>
      </w:r>
      <w:r>
        <w:rPr>
          <w:rFonts w:hint="eastAsia" w:cs="方正兰亭准黑_GBK" w:asciiTheme="minorEastAsia" w:hAnsiTheme="minorEastAsia" w:eastAsiaTheme="minorEastAsia"/>
          <w:sz w:val="24"/>
        </w:rPr>
        <w:t>五角场街道、浦东区人保局、临港海洋高新、国家海洋大学科技园、上海市科技创业中心合作</w:t>
      </w:r>
      <w:r>
        <w:rPr>
          <w:rFonts w:hint="eastAsia" w:cs="方正兰亭细黑_GBK" w:asciiTheme="minorEastAsia" w:hAnsiTheme="minorEastAsia" w:eastAsiaTheme="minorEastAsia"/>
          <w:sz w:val="24"/>
        </w:rPr>
        <w:t>，由JA青年成就承办Climber Training(攀登者训练营)——</w:t>
      </w:r>
      <w:r>
        <w:rPr>
          <w:rFonts w:hint="eastAsia" w:cs="方正兰亭细黑_GBK" w:asciiTheme="minorEastAsia" w:hAnsiTheme="minorEastAsia" w:eastAsiaTheme="minorEastAsia"/>
          <w:b/>
          <w:bCs/>
          <w:sz w:val="24"/>
        </w:rPr>
        <w:t>“创新生涯·驱动人生”第二届上海海洋大学创业训练营</w:t>
      </w:r>
      <w:r>
        <w:rPr>
          <w:rFonts w:hint="eastAsia" w:cs="方正兰亭细黑_GBK" w:asciiTheme="minorEastAsia" w:hAnsiTheme="minorEastAsia" w:eastAsiaTheme="minorEastAsia"/>
          <w:sz w:val="24"/>
        </w:rPr>
        <w:t>。现组织推荐招生报名，本次训练营将通过理论授课、夏令营实践以及项目路演、成果展示等多个方面提升大学生创业力。</w:t>
      </w:r>
    </w:p>
    <w:p>
      <w:pPr>
        <w:spacing w:line="324" w:lineRule="auto"/>
        <w:ind w:firstLine="360" w:firstLineChars="150"/>
        <w:rPr>
          <w:rFonts w:cs="方正兰亭细黑_GBK" w:asciiTheme="minorEastAsia" w:hAnsiTheme="minorEastAsia" w:eastAsiaTheme="minorEastAsia"/>
          <w:sz w:val="24"/>
        </w:rPr>
      </w:pPr>
    </w:p>
    <w:p>
      <w:pPr>
        <w:numPr>
          <w:numId w:val="0"/>
        </w:num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一、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CLIMBER TRAINING 安排</w:t>
      </w:r>
      <w:r>
        <w:rPr>
          <w:rFonts w:hint="eastAsia" w:cs="方正兰亭细黑_GBK" w:asciiTheme="minorEastAsia" w:hAnsiTheme="minorEastAsia" w:eastAsiaTheme="minorEastAsia"/>
          <w:sz w:val="24"/>
        </w:rPr>
        <w:t>（课表详见附件1）</w:t>
      </w:r>
    </w:p>
    <w:p>
      <w:p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第一阶段，理论&amp;实践部分——创业探索（4月</w:t>
      </w: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—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7月）</w:t>
      </w:r>
    </w:p>
    <w:p>
      <w:pPr>
        <w:spacing w:line="324" w:lineRule="auto"/>
        <w:ind w:firstLine="480" w:firstLineChars="200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创业探索以授课培训和参观实践相结合的方式，邀请有创业指导专家，对创业有丰富经验的大咖授课，通过大咖讲坛与沙龙、创业故事会、头脑风暴、创业园参观等多种形式，培育青年人的创新动力、创业精神和团队合作意识。</w:t>
      </w:r>
    </w:p>
    <w:p>
      <w:p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第二阶段，实践部分——创业进化（7月—8月）</w:t>
      </w:r>
    </w:p>
    <w:p>
      <w:pPr>
        <w:spacing w:line="324" w:lineRule="auto"/>
        <w:ind w:firstLine="480" w:firstLineChars="200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CLIMBER创业进化夏令营活动选送优秀团队参加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蓝海·逐梦”大学生创业夏令营、大学生雏鹰创训营</w:t>
      </w:r>
      <w:r>
        <w:rPr>
          <w:rFonts w:hint="eastAsia" w:cs="方正兰亭细黑_GBK" w:asciiTheme="minorEastAsia" w:hAnsiTheme="minorEastAsia" w:eastAsiaTheme="minorEastAsia"/>
          <w:sz w:val="24"/>
        </w:rPr>
        <w:t>等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夏令营</w:t>
      </w:r>
      <w:r>
        <w:rPr>
          <w:rFonts w:hint="eastAsia" w:cs="方正兰亭细黑_GBK" w:asciiTheme="minorEastAsia" w:hAnsiTheme="minorEastAsia" w:eastAsiaTheme="minorEastAsia"/>
          <w:sz w:val="24"/>
        </w:rPr>
        <w:t>活动。通过实践让大学生将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第一阶段</w:t>
      </w:r>
      <w:r>
        <w:rPr>
          <w:rFonts w:hint="eastAsia" w:cs="方正兰亭细黑_GBK" w:asciiTheme="minorEastAsia" w:hAnsiTheme="minorEastAsia" w:eastAsiaTheme="minorEastAsia"/>
          <w:sz w:val="24"/>
        </w:rPr>
        <w:t>学到的理论知识与实践相结合，实现理论知识的转化与扩展，并增强解决实际问题的能力，认识更多志同道合的小伙伴。</w:t>
      </w:r>
    </w:p>
    <w:p>
      <w:p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第三阶段，展示部分——实战路演（9</w:t>
      </w: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月—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10月）</w:t>
      </w:r>
    </w:p>
    <w:p>
      <w:pPr>
        <w:spacing w:line="324" w:lineRule="auto"/>
        <w:ind w:firstLine="480" w:firstLineChars="200"/>
        <w:jc w:val="left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经过几个月的反复修改，打磨沉淀，各支项目团队商业计划书渐渐成形。CLIMBER路演为每支团队提供了展示作品的平台和与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与创业</w:t>
      </w:r>
      <w:r>
        <w:rPr>
          <w:rFonts w:hint="eastAsia" w:cs="方正兰亭细黑_GBK" w:asciiTheme="minorEastAsia" w:hAnsiTheme="minorEastAsia" w:eastAsiaTheme="minorEastAsia"/>
          <w:sz w:val="24"/>
        </w:rPr>
        <w:t>导师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面对面</w:t>
      </w:r>
      <w:r>
        <w:rPr>
          <w:rFonts w:hint="eastAsia" w:cs="方正兰亭细黑_GBK" w:asciiTheme="minorEastAsia" w:hAnsiTheme="minorEastAsia" w:eastAsiaTheme="minorEastAsia"/>
          <w:sz w:val="24"/>
        </w:rPr>
        <w:t>交流的机会。戮力同心完成一份商业计划书，是对团队精神的培养和切身实践；现场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路演</w:t>
      </w:r>
      <w:r>
        <w:rPr>
          <w:rFonts w:hint="eastAsia" w:cs="方正兰亭细黑_GBK" w:asciiTheme="minorEastAsia" w:hAnsiTheme="minorEastAsia" w:eastAsiaTheme="minorEastAsia"/>
          <w:sz w:val="24"/>
        </w:rPr>
        <w:t>答辩是人际交流沟通能力的实战演练；与导师能自信从容的交流是自信和综合能力的体现。通过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第三阶段</w:t>
      </w:r>
      <w:r>
        <w:rPr>
          <w:rFonts w:hint="eastAsia" w:cs="方正兰亭细黑_GBK" w:asciiTheme="minorEastAsia" w:hAnsiTheme="minorEastAsia" w:eastAsiaTheme="minorEastAsia"/>
          <w:sz w:val="24"/>
        </w:rPr>
        <w:t>培训，各位选手的心理素质将逐渐提高，为将来的就业创业打下坚实的基础，提高抗打击能力，拥有不怯场的自信；同时路演也为大家提供了很好的交流学习机会，取他人所长补己之短。</w:t>
      </w:r>
    </w:p>
    <w:p>
      <w:pPr>
        <w:spacing w:line="324" w:lineRule="auto"/>
        <w:ind w:firstLine="480" w:firstLineChars="200"/>
        <w:jc w:val="left"/>
        <w:rPr>
          <w:rFonts w:cs="方正兰亭细黑_GBK" w:asciiTheme="minorEastAsia" w:hAnsiTheme="minorEastAsia" w:eastAsiaTheme="minorEastAsia"/>
          <w:sz w:val="24"/>
        </w:rPr>
      </w:pPr>
    </w:p>
    <w:p>
      <w:pPr>
        <w:numPr>
          <w:numId w:val="0"/>
        </w:num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二、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报名相关事项</w:t>
      </w:r>
    </w:p>
    <w:p>
      <w:pPr>
        <w:numPr>
          <w:ilvl w:val="0"/>
          <w:numId w:val="1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报名对象：</w:t>
      </w:r>
      <w:r>
        <w:rPr>
          <w:rFonts w:hint="eastAsia" w:cs="方正兰亭细黑_GBK" w:asciiTheme="minorEastAsia" w:hAnsiTheme="minorEastAsia" w:eastAsiaTheme="minorEastAsia"/>
          <w:sz w:val="24"/>
        </w:rPr>
        <w:t>本次项目主要针对临港四校（上海海洋大学、上海海事大学、上海建桥学院、上海电机学院）全体本科生、硕士生;</w:t>
      </w:r>
    </w:p>
    <w:p>
      <w:pPr>
        <w:numPr>
          <w:ilvl w:val="0"/>
          <w:numId w:val="1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课程费用：</w:t>
      </w:r>
      <w:r>
        <w:rPr>
          <w:rFonts w:hint="eastAsia" w:cs="方正兰亭细黑_GBK" w:asciiTheme="minorEastAsia" w:hAnsiTheme="minorEastAsia" w:eastAsiaTheme="minorEastAsia"/>
          <w:sz w:val="24"/>
        </w:rPr>
        <w:t>全部免费;</w:t>
      </w:r>
    </w:p>
    <w:p>
      <w:pPr>
        <w:numPr>
          <w:ilvl w:val="0"/>
          <w:numId w:val="1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班级规模：</w:t>
      </w:r>
      <w:r>
        <w:rPr>
          <w:rFonts w:hint="eastAsia" w:cs="方正兰亭细黑_GBK" w:asciiTheme="minorEastAsia" w:hAnsiTheme="minorEastAsia" w:eastAsiaTheme="minorEastAsia"/>
          <w:sz w:val="24"/>
        </w:rPr>
        <w:t>80人左右（其中分为10-15个小组）;</w:t>
      </w:r>
    </w:p>
    <w:p>
      <w:pPr>
        <w:numPr>
          <w:ilvl w:val="0"/>
          <w:numId w:val="1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报名方式：</w:t>
      </w:r>
      <w:r>
        <w:rPr>
          <w:rFonts w:hint="eastAsia" w:cs="方正兰亭细黑_GBK" w:asciiTheme="minorEastAsia" w:hAnsiTheme="minorEastAsia" w:eastAsiaTheme="minorEastAsia"/>
          <w:sz w:val="24"/>
        </w:rPr>
        <w:t>扫描文末二维码或者JA-SHOU公众号推送报名;</w:t>
      </w:r>
    </w:p>
    <w:p>
      <w:pPr>
        <w:numPr>
          <w:ilvl w:val="0"/>
          <w:numId w:val="1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管理制度：</w:t>
      </w:r>
      <w:r>
        <w:rPr>
          <w:rFonts w:hint="eastAsia" w:cs="方正兰亭细黑_GBK" w:asciiTheme="minorEastAsia" w:hAnsiTheme="minorEastAsia" w:eastAsiaTheme="minorEastAsia"/>
          <w:sz w:val="24"/>
        </w:rPr>
        <w:t>按组形式，每组选出一名组长，同时每组会有观察员参与活动;每个项目结业时提交一份创业计划书、一份团队项目视频路演PPT。</w:t>
      </w:r>
    </w:p>
    <w:p>
      <w:pPr>
        <w:numPr>
          <w:ilvl w:val="0"/>
          <w:numId w:val="1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t>奖励</w:t>
      </w: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：</w:t>
      </w:r>
      <w:r>
        <w:rPr>
          <w:rFonts w:hint="eastAsia" w:cs="方正兰亭细黑_GBK" w:asciiTheme="minorEastAsia" w:hAnsiTheme="minorEastAsia" w:eastAsiaTheme="minorEastAsia"/>
          <w:sz w:val="24"/>
        </w:rPr>
        <w:t>活动设置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优秀团队奖</w:t>
      </w:r>
      <w:r>
        <w:rPr>
          <w:rFonts w:hint="eastAsia" w:cs="方正兰亭细黑_GBK" w:asciiTheme="minorEastAsia" w:hAnsiTheme="minorEastAsia" w:eastAsiaTheme="minorEastAsia"/>
          <w:sz w:val="24"/>
          <w:lang w:val="en-US" w:eastAsia="zh-CN"/>
        </w:rPr>
        <w:t>5-8</w:t>
      </w:r>
      <w:r>
        <w:rPr>
          <w:rFonts w:hint="eastAsia" w:cs="方正兰亭细黑_GBK" w:asciiTheme="minorEastAsia" w:hAnsiTheme="minorEastAsia" w:eastAsiaTheme="minorEastAsia"/>
          <w:sz w:val="24"/>
        </w:rPr>
        <w:t>个名额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cs="方正兰亭细黑_GBK" w:asciiTheme="minorEastAsia" w:hAnsiTheme="minorEastAsia" w:eastAsiaTheme="minorEastAsia"/>
          <w:sz w:val="24"/>
        </w:rPr>
        <w:t>奖励为海洋国家大学科技园大礼包一份（包括入驻科技园的2个共位，一年免费的财务服务），颁发优秀创业训练营团队奖证书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，通过考核的</w:t>
      </w:r>
      <w:r>
        <w:rPr>
          <w:rFonts w:hint="eastAsia" w:cs="方正兰亭细黑_GBK" w:asciiTheme="minorEastAsia" w:hAnsiTheme="minorEastAsia" w:eastAsiaTheme="minorEastAsia"/>
          <w:sz w:val="24"/>
        </w:rPr>
        <w:t>学员将获得创业训练营结业证书。</w:t>
      </w:r>
    </w:p>
    <w:p>
      <w:pPr>
        <w:numPr>
          <w:numId w:val="0"/>
        </w:num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三、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合作机构</w:t>
      </w:r>
    </w:p>
    <w:p>
      <w:pPr>
        <w:spacing w:line="324" w:lineRule="auto"/>
        <w:ind w:firstLine="360" w:firstLineChars="150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上海市科技创业中心、浦东区人保局、五角场街道、上海临港海洋高新技术产业发展有限公司、国家海洋大学科技园</w:t>
      </w:r>
    </w:p>
    <w:p>
      <w:pPr>
        <w:numPr>
          <w:numId w:val="0"/>
        </w:numPr>
        <w:spacing w:line="324" w:lineRule="auto"/>
        <w:rPr>
          <w:rFonts w:cs="方正兰亭细黑_GBK" w:asciiTheme="minorEastAsia" w:hAnsiTheme="minorEastAsia" w:eastAsiaTheme="minorEastAsia"/>
          <w:b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  <w:lang w:eastAsia="zh-CN"/>
        </w:rPr>
        <w:t>四、</w:t>
      </w:r>
      <w:r>
        <w:rPr>
          <w:rFonts w:hint="eastAsia" w:cs="方正兰亭细黑_GBK" w:asciiTheme="minorEastAsia" w:hAnsiTheme="minorEastAsia" w:eastAsiaTheme="minorEastAsia"/>
          <w:b/>
          <w:sz w:val="24"/>
        </w:rPr>
        <w:t>联系人报名时间</w:t>
      </w:r>
    </w:p>
    <w:p>
      <w:pPr>
        <w:numPr>
          <w:ilvl w:val="0"/>
          <w:numId w:val="2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b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8890</wp:posOffset>
            </wp:positionV>
            <wp:extent cx="913765" cy="913765"/>
            <wp:effectExtent l="0" t="0" r="635" b="635"/>
            <wp:wrapNone/>
            <wp:docPr id="2" name="图片 1" descr="微信图片_2018031702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3170211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cs="方正兰亭细黑_GBK" w:asciiTheme="minorEastAsia" w:hAnsiTheme="minorEastAsia" w:eastAsiaTheme="minorEastAsia"/>
          <w:sz w:val="24"/>
        </w:rPr>
        <w:t xml:space="preserve">报名二维码 </w:t>
      </w:r>
    </w:p>
    <w:p>
      <w:pPr>
        <w:spacing w:line="324" w:lineRule="auto"/>
        <w:rPr>
          <w:rFonts w:hint="eastAsia"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rPr>
          <w:rFonts w:cs="方正兰亭细黑_GBK" w:asciiTheme="minorEastAsia" w:hAnsiTheme="minorEastAsia" w:eastAsiaTheme="minorEastAsia"/>
          <w:sz w:val="24"/>
        </w:rPr>
      </w:pPr>
    </w:p>
    <w:p>
      <w:pPr>
        <w:numPr>
          <w:numId w:val="0"/>
        </w:numPr>
        <w:spacing w:line="324" w:lineRule="auto"/>
        <w:rPr>
          <w:rFonts w:hint="eastAsia" w:cs="方正兰亭细黑_GBK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方正兰亭细黑_GBK" w:asciiTheme="minorEastAsia" w:hAnsiTheme="minorEastAsia" w:eastAsiaTheme="minorEastAsia"/>
          <w:sz w:val="24"/>
          <w:lang w:val="en-US" w:eastAsia="zh-CN"/>
        </w:rPr>
        <w:t xml:space="preserve">                </w:t>
      </w:r>
    </w:p>
    <w:p>
      <w:pPr>
        <w:numPr>
          <w:ilvl w:val="0"/>
          <w:numId w:val="2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  <w:lang w:val="en-US" w:eastAsia="zh-CN"/>
        </w:rPr>
        <w:t>报名咨询</w:t>
      </w:r>
      <w:r>
        <w:rPr>
          <w:rFonts w:hint="eastAsia" w:cs="方正兰亭细黑_GBK" w:asciiTheme="minorEastAsia" w:hAnsiTheme="minorEastAsia" w:eastAsiaTheme="minorEastAsia"/>
          <w:sz w:val="24"/>
        </w:rPr>
        <w:t xml:space="preserve">：胡慧雪 18221679736，周慧恬 17721229422 </w:t>
      </w:r>
    </w:p>
    <w:p>
      <w:pPr>
        <w:numPr>
          <w:ilvl w:val="0"/>
          <w:numId w:val="2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报名时间：即日-2018.4.3扫描二维码报名课程</w:t>
      </w:r>
    </w:p>
    <w:p>
      <w:pPr>
        <w:numPr>
          <w:ilvl w:val="0"/>
          <w:numId w:val="2"/>
        </w:num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更多详情，请关注“</w:t>
      </w:r>
      <w:r>
        <w:rPr>
          <w:rFonts w:hint="eastAsia" w:cs="方正兰亭细黑_GBK" w:asciiTheme="minorEastAsia" w:hAnsiTheme="minorEastAsia" w:eastAsiaTheme="minorEastAsia"/>
          <w:sz w:val="24"/>
          <w:lang w:val="en-US" w:eastAsia="zh-CN"/>
        </w:rPr>
        <w:t>SHOU就创职通车</w:t>
      </w: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”微信公众号</w:t>
      </w:r>
    </w:p>
    <w:p>
      <w:pPr>
        <w:numPr>
          <w:numId w:val="0"/>
        </w:numPr>
        <w:spacing w:line="324" w:lineRule="auto"/>
        <w:jc w:val="center"/>
        <w:rPr>
          <w:rFonts w:hint="eastAsia" w:cs="方正兰亭细黑_GBK" w:asciiTheme="minorEastAsia" w:hAnsiTheme="minorEastAsia" w:eastAsiaTheme="minorEastAsia"/>
          <w:sz w:val="24"/>
          <w:lang w:eastAsia="zh-CN"/>
        </w:rPr>
      </w:pP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68580</wp:posOffset>
            </wp:positionV>
            <wp:extent cx="1022350" cy="1022350"/>
            <wp:effectExtent l="0" t="0" r="13970" b="13970"/>
            <wp:wrapSquare wrapText="bothSides"/>
            <wp:docPr id="3" name="图片 3" descr="816135961508778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6135961508778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4" w:lineRule="auto"/>
        <w:rPr>
          <w:rFonts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rPr>
          <w:rFonts w:hint="eastAsia"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rPr>
          <w:rFonts w:hint="eastAsia"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rPr>
          <w:rFonts w:hint="eastAsia"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主办方：上海海洋大学学生处（就业创业服务中心）</w:t>
      </w:r>
    </w:p>
    <w:p>
      <w:pPr>
        <w:spacing w:line="324" w:lineRule="auto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</w:rPr>
        <w:t>承办方：JA-SHOU</w:t>
      </w:r>
    </w:p>
    <w:p>
      <w:pPr>
        <w:spacing w:line="324" w:lineRule="auto"/>
        <w:jc w:val="right"/>
        <w:rPr>
          <w:rFonts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jc w:val="right"/>
        <w:rPr>
          <w:rFonts w:hint="eastAsia" w:cs="方正兰亭细黑_GBK" w:asciiTheme="minorEastAsia" w:hAnsiTheme="minorEastAsia" w:eastAsiaTheme="minorEastAsia"/>
          <w:sz w:val="24"/>
        </w:rPr>
      </w:pPr>
    </w:p>
    <w:p>
      <w:pPr>
        <w:spacing w:line="324" w:lineRule="auto"/>
        <w:jc w:val="right"/>
        <w:rPr>
          <w:rFonts w:hint="eastAsia" w:cs="方正兰亭细黑_GBK" w:asciiTheme="minorEastAsia" w:hAnsiTheme="minorEastAsia" w:eastAsiaTheme="minorEastAsia"/>
          <w:sz w:val="24"/>
          <w:lang w:eastAsia="zh-CN"/>
        </w:rPr>
      </w:pPr>
      <w:r>
        <w:rPr>
          <w:rFonts w:hint="eastAsia" w:cs="方正兰亭细黑_GBK" w:asciiTheme="minorEastAsia" w:hAnsiTheme="minorEastAsia" w:eastAsiaTheme="minorEastAsia"/>
          <w:sz w:val="24"/>
          <w:lang w:eastAsia="zh-CN"/>
        </w:rPr>
        <w:t>上海海洋大学学生处（就业创业服务中心）</w:t>
      </w:r>
    </w:p>
    <w:p>
      <w:pPr>
        <w:spacing w:line="324" w:lineRule="auto"/>
        <w:jc w:val="center"/>
        <w:rPr>
          <w:rFonts w:cs="方正兰亭细黑_GBK" w:asciiTheme="minorEastAsia" w:hAnsiTheme="minorEastAsia" w:eastAsiaTheme="minorEastAsia"/>
          <w:sz w:val="24"/>
        </w:rPr>
      </w:pPr>
      <w:r>
        <w:rPr>
          <w:rFonts w:hint="eastAsia" w:cs="方正兰亭细黑_GBK" w:asciiTheme="minorEastAsia" w:hAnsiTheme="minorEastAsia" w:eastAsiaTheme="minorEastAsia"/>
          <w:sz w:val="24"/>
          <w:lang w:val="en-US" w:eastAsia="zh-CN"/>
        </w:rPr>
        <w:t xml:space="preserve">                          </w:t>
      </w:r>
      <w:r>
        <w:rPr>
          <w:rFonts w:hint="eastAsia" w:cs="方正兰亭细黑_GBK" w:asciiTheme="minorEastAsia" w:hAnsiTheme="minorEastAsia" w:eastAsiaTheme="minorEastAsia"/>
          <w:sz w:val="24"/>
        </w:rPr>
        <w:t>2018年3月24日</w:t>
      </w:r>
    </w:p>
    <w:p>
      <w:pPr>
        <w:spacing w:line="48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附件1：上海海洋大学第二届“创新生涯·驱动人生”创业训练营课表</w:t>
      </w:r>
    </w:p>
    <w:tbl>
      <w:tblPr>
        <w:tblStyle w:val="7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300"/>
        <w:gridCol w:w="1696"/>
        <w:gridCol w:w="2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2"/>
              </w:rPr>
              <w:t>阶段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1"/>
              </w:rPr>
              <w:t>日期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1"/>
              </w:rPr>
              <w:t>时间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1"/>
              </w:rPr>
              <w:t>主题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2"/>
              </w:rPr>
              <w:t>第一阶段：理论&amp;实践——创业探索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2018年4月2日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19：40-21：00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CLIMBER-破冰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2018年4月10日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WE ARE CLIMBERS-开幕式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2018年4月17日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创新思维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2018年4月24日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创新能力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2018年5月1日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13：00-17：00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参观学习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2018年5月8日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创业概述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2018年5月15日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14：00-16：00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2018年5月22日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创业机会与风险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2018年5月29日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14：00-16：00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如何写好创业计划书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2018年6月5日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13：00-17：00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outing and thinking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2018年7月6日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商业模式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2018年7月10日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8分钟路演培训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2"/>
              </w:rPr>
              <w:t>第二阶段：实践部分——创业进化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2018年7月——8月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创业夏令营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2"/>
              </w:rPr>
              <w:t>第三阶段：展示部分——实战路演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2018年9月11日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创业计划书指导与修改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2018年9月18日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模拟路演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2018年10月16日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14：00-15：30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项目路演</w:t>
            </w:r>
          </w:p>
        </w:tc>
      </w:tr>
    </w:tbl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细黑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准黑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A34A"/>
    <w:multiLevelType w:val="singleLevel"/>
    <w:tmpl w:val="5AAFA3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B06551"/>
    <w:multiLevelType w:val="singleLevel"/>
    <w:tmpl w:val="5AB065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4B33BA"/>
    <w:rsid w:val="001003FB"/>
    <w:rsid w:val="00197138"/>
    <w:rsid w:val="002E7171"/>
    <w:rsid w:val="003E2D91"/>
    <w:rsid w:val="004D7F5D"/>
    <w:rsid w:val="005E53E9"/>
    <w:rsid w:val="00655BEF"/>
    <w:rsid w:val="007409D9"/>
    <w:rsid w:val="00A97C7A"/>
    <w:rsid w:val="00BA2FD4"/>
    <w:rsid w:val="00BB5CE6"/>
    <w:rsid w:val="00C70910"/>
    <w:rsid w:val="00DB4DFF"/>
    <w:rsid w:val="00E324DC"/>
    <w:rsid w:val="00E535BD"/>
    <w:rsid w:val="00F3239C"/>
    <w:rsid w:val="00F4385F"/>
    <w:rsid w:val="00F45BDD"/>
    <w:rsid w:val="00FC55A6"/>
    <w:rsid w:val="04B64339"/>
    <w:rsid w:val="077C51A6"/>
    <w:rsid w:val="104B33BA"/>
    <w:rsid w:val="19840177"/>
    <w:rsid w:val="20542D9E"/>
    <w:rsid w:val="28886681"/>
    <w:rsid w:val="2BD02475"/>
    <w:rsid w:val="2E4F2565"/>
    <w:rsid w:val="39813C41"/>
    <w:rsid w:val="473D0754"/>
    <w:rsid w:val="4AA74A64"/>
    <w:rsid w:val="4D2D03CD"/>
    <w:rsid w:val="5B340130"/>
    <w:rsid w:val="5BC25EF5"/>
    <w:rsid w:val="5D2159CE"/>
    <w:rsid w:val="6A7D3B56"/>
    <w:rsid w:val="6EE171FD"/>
    <w:rsid w:val="72F34900"/>
    <w:rsid w:val="74D74D3B"/>
    <w:rsid w:val="778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2"/>
    </w:pPr>
    <w:rPr>
      <w:rFonts w:asciiTheme="minorHAnsi" w:hAnsiTheme="minorHAnsi" w:eastAsiaTheme="minorEastAsia" w:cstheme="minorBidi"/>
      <w:b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5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3 Char"/>
    <w:basedOn w:val="6"/>
    <w:link w:val="2"/>
    <w:qFormat/>
    <w:uiPriority w:val="0"/>
    <w:rPr>
      <w:rFonts w:asciiTheme="minorHAnsi" w:hAnsiTheme="minorHAnsi" w:eastAsiaTheme="minorEastAsia" w:cstheme="minorBidi"/>
      <w:b/>
      <w:kern w:val="2"/>
      <w:sz w:val="32"/>
      <w:szCs w:val="24"/>
    </w:rPr>
  </w:style>
  <w:style w:type="character" w:customStyle="1" w:styleId="12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306</Words>
  <Characters>1750</Characters>
  <Lines>14</Lines>
  <Paragraphs>4</Paragraphs>
  <ScaleCrop>false</ScaleCrop>
  <LinksUpToDate>false</LinksUpToDate>
  <CharactersWithSpaces>2052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2018-03-24T13:29:00Z</dcterms:created>
  <dc:creator>衾睨</dc:creator>
  <cp:lastModifiedBy>闫咏（海大）</cp:lastModifiedBy>
  <dcterms:modified xsi:type="dcterms:W3CDTF">2018-03-26T01:42:30Z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