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A7C" w:rsidRPr="00D20A7C" w:rsidRDefault="00D20A7C" w:rsidP="00D20A7C">
      <w:pPr>
        <w:widowControl/>
        <w:spacing w:before="100" w:beforeAutospacing="1" w:after="100" w:afterAutospacing="1"/>
        <w:jc w:val="center"/>
        <w:outlineLvl w:val="0"/>
        <w:rPr>
          <w:rFonts w:ascii="微软雅黑" w:eastAsia="微软雅黑" w:hAnsi="微软雅黑" w:cs="宋体"/>
          <w:b/>
          <w:bCs/>
          <w:kern w:val="36"/>
          <w:sz w:val="32"/>
          <w:szCs w:val="45"/>
        </w:rPr>
      </w:pPr>
      <w:r w:rsidRPr="00D20A7C">
        <w:rPr>
          <w:rFonts w:ascii="微软雅黑" w:eastAsia="微软雅黑" w:hAnsi="微软雅黑" w:cs="宋体" w:hint="eastAsia"/>
          <w:b/>
          <w:bCs/>
          <w:kern w:val="36"/>
          <w:sz w:val="32"/>
          <w:szCs w:val="45"/>
        </w:rPr>
        <w:t>常州信息职业技术学院2018年博士等高层次人才招聘启事</w:t>
      </w:r>
    </w:p>
    <w:p w:rsidR="00D20A7C" w:rsidRDefault="00D20A7C" w:rsidP="00D20A7C">
      <w:pPr>
        <w:pStyle w:val="a3"/>
        <w:spacing w:before="75" w:beforeAutospacing="0" w:after="75" w:afterAutospacing="0" w:line="420" w:lineRule="atLeast"/>
        <w:ind w:firstLine="450"/>
        <w:rPr>
          <w:rFonts w:ascii="微软雅黑" w:eastAsia="微软雅黑" w:hAnsi="微软雅黑"/>
          <w:color w:val="313131"/>
          <w:sz w:val="23"/>
          <w:szCs w:val="23"/>
        </w:rPr>
      </w:pPr>
      <w:r>
        <w:rPr>
          <w:rFonts w:ascii="微软雅黑" w:eastAsia="微软雅黑" w:hAnsi="微软雅黑" w:hint="eastAsia"/>
          <w:color w:val="313131"/>
          <w:sz w:val="23"/>
          <w:szCs w:val="23"/>
        </w:rPr>
        <w:t>常州信息职业技术学院是江苏省首家信息职业技术学院，隶属于江苏省经济和信息化委员会。国家示范性高等职业院校，江苏省高水平高职院校建设单位，“江苏高职院校人才竞争力排行榜”第4名，“中国大学有效专利排行榜”高职第6名，“国家示范性高职院校影响力排行榜”20强，首批全国就业先进典型50强，国家示范性高职院校影响力30强，国家示范性和骨干高职院校科研竞争力50强，全国高职院校服务贡献50强。</w:t>
      </w:r>
    </w:p>
    <w:p w:rsidR="00D20A7C" w:rsidRP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学院官方主页：</w:t>
      </w:r>
      <w:hyperlink r:id="rId4" w:history="1">
        <w:r>
          <w:rPr>
            <w:rStyle w:val="a4"/>
            <w:rFonts w:ascii="微软雅黑" w:eastAsia="微软雅黑" w:hAnsi="微软雅黑" w:hint="eastAsia"/>
            <w:color w:val="FF0000"/>
            <w:sz w:val="23"/>
            <w:szCs w:val="23"/>
          </w:rPr>
          <w:t>www.ccit.js.cn</w:t>
        </w:r>
      </w:hyperlink>
      <w:r>
        <w:rPr>
          <w:rFonts w:ascii="微软雅黑" w:eastAsia="微软雅黑" w:hAnsi="微软雅黑" w:hint="eastAsia"/>
          <w:color w:val="313131"/>
          <w:sz w:val="23"/>
          <w:szCs w:val="23"/>
        </w:rPr>
        <w:t>。</w:t>
      </w:r>
    </w:p>
    <w:p w:rsidR="00D20A7C" w:rsidRDefault="00D20A7C" w:rsidP="00D20A7C">
      <w:pPr>
        <w:pStyle w:val="4"/>
        <w:pBdr>
          <w:bottom w:val="dashed" w:sz="6" w:space="6" w:color="E2E2E2"/>
        </w:pBdr>
        <w:spacing w:before="0" w:after="0"/>
        <w:ind w:left="375"/>
        <w:rPr>
          <w:rFonts w:ascii="微软雅黑" w:eastAsia="微软雅黑" w:hAnsi="微软雅黑" w:hint="eastAsia"/>
          <w:color w:val="E16204"/>
          <w:sz w:val="27"/>
          <w:szCs w:val="27"/>
        </w:rPr>
      </w:pPr>
      <w:r>
        <w:rPr>
          <w:rFonts w:ascii="微软雅黑" w:eastAsia="微软雅黑" w:hAnsi="微软雅黑" w:hint="eastAsia"/>
          <w:color w:val="E16204"/>
          <w:sz w:val="27"/>
          <w:szCs w:val="27"/>
        </w:rPr>
        <w:t>一、人才需求</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（一）专业骨干人才（博士及以上）</w:t>
      </w:r>
    </w:p>
    <w:tbl>
      <w:tblPr>
        <w:tblW w:w="4500" w:type="pct"/>
        <w:jc w:val="center"/>
        <w:tblCellSpacing w:w="7" w:type="dxa"/>
        <w:shd w:val="clear" w:color="auto" w:fill="BABABA"/>
        <w:tblCellMar>
          <w:top w:w="15" w:type="dxa"/>
          <w:left w:w="15" w:type="dxa"/>
          <w:bottom w:w="15" w:type="dxa"/>
          <w:right w:w="15" w:type="dxa"/>
        </w:tblCellMar>
        <w:tblLook w:val="04A0"/>
      </w:tblPr>
      <w:tblGrid>
        <w:gridCol w:w="628"/>
        <w:gridCol w:w="1256"/>
        <w:gridCol w:w="2082"/>
        <w:gridCol w:w="1284"/>
        <w:gridCol w:w="870"/>
        <w:gridCol w:w="1408"/>
      </w:tblGrid>
      <w:tr w:rsidR="00D20A7C" w:rsidTr="00D20A7C">
        <w:trPr>
          <w:tblHeader/>
          <w:tblCellSpacing w:w="7" w:type="dxa"/>
          <w:jc w:val="center"/>
        </w:trPr>
        <w:tc>
          <w:tcPr>
            <w:tcW w:w="885" w:type="dxa"/>
            <w:shd w:val="clear" w:color="auto" w:fill="F3F3F3"/>
            <w:vAlign w:val="center"/>
            <w:hideMark/>
          </w:tcPr>
          <w:p w:rsidR="00D20A7C" w:rsidRDefault="00D20A7C">
            <w:pPr>
              <w:spacing w:line="300" w:lineRule="atLeast"/>
              <w:jc w:val="center"/>
              <w:rPr>
                <w:rFonts w:ascii="微软雅黑" w:eastAsia="微软雅黑" w:hAnsi="微软雅黑" w:cs="宋体"/>
                <w:b/>
                <w:bCs/>
                <w:color w:val="3E3E3E"/>
                <w:szCs w:val="21"/>
              </w:rPr>
            </w:pPr>
            <w:r>
              <w:rPr>
                <w:rFonts w:ascii="微软雅黑" w:eastAsia="微软雅黑" w:hAnsi="微软雅黑" w:hint="eastAsia"/>
                <w:b/>
                <w:bCs/>
                <w:color w:val="3E3E3E"/>
                <w:szCs w:val="21"/>
              </w:rPr>
              <w:t>序号</w:t>
            </w:r>
          </w:p>
        </w:tc>
        <w:tc>
          <w:tcPr>
            <w:tcW w:w="2280" w:type="dxa"/>
            <w:shd w:val="clear" w:color="auto" w:fill="F3F3F3"/>
            <w:vAlign w:val="center"/>
            <w:hideMark/>
          </w:tcPr>
          <w:p w:rsidR="00D20A7C" w:rsidRDefault="00D20A7C">
            <w:pPr>
              <w:spacing w:line="300" w:lineRule="atLeast"/>
              <w:jc w:val="center"/>
              <w:rPr>
                <w:rFonts w:ascii="微软雅黑" w:eastAsia="微软雅黑" w:hAnsi="微软雅黑" w:cs="宋体"/>
                <w:b/>
                <w:bCs/>
                <w:color w:val="3E3E3E"/>
                <w:szCs w:val="21"/>
              </w:rPr>
            </w:pPr>
            <w:r>
              <w:rPr>
                <w:rFonts w:ascii="微软雅黑" w:eastAsia="微软雅黑" w:hAnsi="微软雅黑" w:hint="eastAsia"/>
                <w:b/>
                <w:bCs/>
                <w:color w:val="3E3E3E"/>
                <w:szCs w:val="21"/>
              </w:rPr>
              <w:t>部门</w:t>
            </w:r>
          </w:p>
        </w:tc>
        <w:tc>
          <w:tcPr>
            <w:tcW w:w="3840" w:type="dxa"/>
            <w:shd w:val="clear" w:color="auto" w:fill="F3F3F3"/>
            <w:vAlign w:val="center"/>
            <w:hideMark/>
          </w:tcPr>
          <w:p w:rsidR="00D20A7C" w:rsidRDefault="00D20A7C">
            <w:pPr>
              <w:spacing w:line="300" w:lineRule="atLeast"/>
              <w:jc w:val="center"/>
              <w:rPr>
                <w:rFonts w:ascii="微软雅黑" w:eastAsia="微软雅黑" w:hAnsi="微软雅黑" w:cs="宋体"/>
                <w:b/>
                <w:bCs/>
                <w:color w:val="3E3E3E"/>
                <w:szCs w:val="21"/>
              </w:rPr>
            </w:pPr>
            <w:r>
              <w:rPr>
                <w:rFonts w:ascii="微软雅黑" w:eastAsia="微软雅黑" w:hAnsi="微软雅黑" w:hint="eastAsia"/>
                <w:b/>
                <w:bCs/>
                <w:color w:val="3E3E3E"/>
                <w:szCs w:val="21"/>
              </w:rPr>
              <w:t>专业</w:t>
            </w:r>
          </w:p>
        </w:tc>
        <w:tc>
          <w:tcPr>
            <w:tcW w:w="2340" w:type="dxa"/>
            <w:shd w:val="clear" w:color="auto" w:fill="F3F3F3"/>
            <w:vAlign w:val="center"/>
            <w:hideMark/>
          </w:tcPr>
          <w:p w:rsidR="00D20A7C" w:rsidRDefault="00D20A7C">
            <w:pPr>
              <w:spacing w:line="300" w:lineRule="atLeast"/>
              <w:jc w:val="center"/>
              <w:rPr>
                <w:rFonts w:ascii="微软雅黑" w:eastAsia="微软雅黑" w:hAnsi="微软雅黑" w:cs="宋体"/>
                <w:b/>
                <w:bCs/>
                <w:color w:val="3E3E3E"/>
                <w:szCs w:val="21"/>
              </w:rPr>
            </w:pPr>
            <w:r>
              <w:rPr>
                <w:rFonts w:ascii="微软雅黑" w:eastAsia="微软雅黑" w:hAnsi="微软雅黑" w:hint="eastAsia"/>
                <w:b/>
                <w:bCs/>
                <w:color w:val="3E3E3E"/>
                <w:szCs w:val="21"/>
              </w:rPr>
              <w:t>学历学位</w:t>
            </w:r>
          </w:p>
        </w:tc>
        <w:tc>
          <w:tcPr>
            <w:tcW w:w="1455" w:type="dxa"/>
            <w:shd w:val="clear" w:color="auto" w:fill="F3F3F3"/>
            <w:vAlign w:val="center"/>
            <w:hideMark/>
          </w:tcPr>
          <w:p w:rsidR="00D20A7C" w:rsidRDefault="00D20A7C">
            <w:pPr>
              <w:spacing w:line="300" w:lineRule="atLeast"/>
              <w:jc w:val="center"/>
              <w:rPr>
                <w:rFonts w:ascii="微软雅黑" w:eastAsia="微软雅黑" w:hAnsi="微软雅黑" w:cs="宋体"/>
                <w:b/>
                <w:bCs/>
                <w:color w:val="3E3E3E"/>
                <w:szCs w:val="21"/>
              </w:rPr>
            </w:pPr>
            <w:r>
              <w:rPr>
                <w:rFonts w:ascii="微软雅黑" w:eastAsia="微软雅黑" w:hAnsi="微软雅黑" w:hint="eastAsia"/>
                <w:b/>
                <w:bCs/>
                <w:color w:val="3E3E3E"/>
                <w:szCs w:val="21"/>
              </w:rPr>
              <w:t>人数</w:t>
            </w:r>
          </w:p>
        </w:tc>
        <w:tc>
          <w:tcPr>
            <w:tcW w:w="2385" w:type="dxa"/>
            <w:shd w:val="clear" w:color="auto" w:fill="FFFFFF"/>
            <w:vAlign w:val="center"/>
            <w:hideMark/>
          </w:tcPr>
          <w:p w:rsidR="00D20A7C" w:rsidRDefault="00D20A7C">
            <w:pPr>
              <w:spacing w:line="300" w:lineRule="atLeast"/>
              <w:jc w:val="center"/>
              <w:rPr>
                <w:rFonts w:ascii="微软雅黑" w:eastAsia="微软雅黑" w:hAnsi="微软雅黑" w:cs="宋体"/>
                <w:b/>
                <w:bCs/>
                <w:color w:val="3E3E3E"/>
                <w:szCs w:val="21"/>
              </w:rPr>
            </w:pPr>
            <w:r>
              <w:rPr>
                <w:rFonts w:ascii="微软雅黑" w:eastAsia="微软雅黑" w:hAnsi="微软雅黑" w:hint="eastAsia"/>
                <w:b/>
                <w:bCs/>
                <w:color w:val="3E3E3E"/>
                <w:szCs w:val="21"/>
              </w:rPr>
              <w:t>备注</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1</w:t>
            </w:r>
          </w:p>
        </w:tc>
        <w:tc>
          <w:tcPr>
            <w:tcW w:w="228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软件学院</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计算机应用技术，计算机软件与理论，大数据技术，人工智能技术</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博士</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若干</w:t>
            </w:r>
          </w:p>
        </w:tc>
        <w:tc>
          <w:tcPr>
            <w:tcW w:w="23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不超过35岁；副教授及以上职称者年龄不超40岁</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2</w:t>
            </w:r>
          </w:p>
        </w:tc>
        <w:tc>
          <w:tcPr>
            <w:tcW w:w="228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电子与电气工程学院</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电力系统及其自动化、电路与系统、信息与通信工程、模式识别与智能系统、计算机应用技术、仪表科学与技术、控制科学与工程、车辆工程相关类专业、载运工具类专业、新能源汽车方向</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博士</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若干</w:t>
            </w:r>
          </w:p>
        </w:tc>
        <w:tc>
          <w:tcPr>
            <w:tcW w:w="23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xml:space="preserve">　</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3</w:t>
            </w:r>
          </w:p>
        </w:tc>
        <w:tc>
          <w:tcPr>
            <w:tcW w:w="228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网通学院</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移动通信技术、物联网技术、信息安全技术、计算机网络技术、云计算技术、大数据技术</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博士</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若干</w:t>
            </w:r>
          </w:p>
        </w:tc>
        <w:tc>
          <w:tcPr>
            <w:tcW w:w="23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xml:space="preserve">　</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4</w:t>
            </w:r>
          </w:p>
        </w:tc>
        <w:tc>
          <w:tcPr>
            <w:tcW w:w="228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机电工程学院</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.机电一体化、机器人、模具设计与制造、机械制</w:t>
            </w:r>
            <w:r>
              <w:rPr>
                <w:rFonts w:ascii="微软雅黑" w:eastAsia="微软雅黑" w:hAnsi="微软雅黑" w:hint="eastAsia"/>
                <w:color w:val="494949"/>
                <w:sz w:val="18"/>
                <w:szCs w:val="18"/>
              </w:rPr>
              <w:lastRenderedPageBreak/>
              <w:t>造、数控技术、工业设计、激光技术</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lastRenderedPageBreak/>
              <w:t>博士</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若干</w:t>
            </w:r>
          </w:p>
        </w:tc>
        <w:tc>
          <w:tcPr>
            <w:tcW w:w="23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xml:space="preserve">　</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lastRenderedPageBreak/>
              <w:t>5</w:t>
            </w:r>
          </w:p>
        </w:tc>
        <w:tc>
          <w:tcPr>
            <w:tcW w:w="228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经贸管理学院</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工商企业管理、电子商务、财务会计、金融学</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博士</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若干</w:t>
            </w:r>
          </w:p>
        </w:tc>
        <w:tc>
          <w:tcPr>
            <w:tcW w:w="2385" w:type="dxa"/>
            <w:shd w:val="clear" w:color="auto" w:fill="FFFFFF"/>
            <w:tcMar>
              <w:top w:w="75" w:type="dxa"/>
              <w:left w:w="75" w:type="dxa"/>
              <w:bottom w:w="75" w:type="dxa"/>
              <w:right w:w="75" w:type="dxa"/>
            </w:tcMar>
            <w:vAlign w:val="bottom"/>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xml:space="preserve">　</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6</w:t>
            </w:r>
          </w:p>
        </w:tc>
        <w:tc>
          <w:tcPr>
            <w:tcW w:w="228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外国语学院/海外教育与社会发展学院</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旅游管理</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博士</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若干</w:t>
            </w:r>
          </w:p>
        </w:tc>
        <w:tc>
          <w:tcPr>
            <w:tcW w:w="23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xml:space="preserve">　</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7</w:t>
            </w:r>
          </w:p>
        </w:tc>
        <w:tc>
          <w:tcPr>
            <w:tcW w:w="228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艺术设计学院</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艺术设计类专业（数字媒体或视觉传达优先）</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博士</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若干</w:t>
            </w:r>
          </w:p>
        </w:tc>
        <w:tc>
          <w:tcPr>
            <w:tcW w:w="23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本科和博士阶段均为艺术设计类专业</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8</w:t>
            </w:r>
          </w:p>
        </w:tc>
        <w:tc>
          <w:tcPr>
            <w:tcW w:w="2280" w:type="dxa"/>
            <w:shd w:val="clear" w:color="auto" w:fill="FFFFFF"/>
            <w:tcMar>
              <w:top w:w="75" w:type="dxa"/>
              <w:left w:w="75" w:type="dxa"/>
              <w:bottom w:w="75" w:type="dxa"/>
              <w:right w:w="75" w:type="dxa"/>
            </w:tcMar>
            <w:vAlign w:val="bottom"/>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发展规划处/高等职业教育科学研究所</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职业技术教育学、高等教育学、教育学原理等相关专业</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博士</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1</w:t>
            </w:r>
          </w:p>
        </w:tc>
        <w:tc>
          <w:tcPr>
            <w:tcW w:w="23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9</w:t>
            </w:r>
          </w:p>
        </w:tc>
        <w:tc>
          <w:tcPr>
            <w:tcW w:w="228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基础部</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数学及相关专业</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博士</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1</w:t>
            </w:r>
          </w:p>
        </w:tc>
        <w:tc>
          <w:tcPr>
            <w:tcW w:w="23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xml:space="preserve">　会数学建模，熟悉数学软件</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10</w:t>
            </w:r>
          </w:p>
        </w:tc>
        <w:tc>
          <w:tcPr>
            <w:tcW w:w="228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社会科学部</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马克思主义哲学、思想政治教育、马克思主义中国化研究</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博士</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1</w:t>
            </w:r>
          </w:p>
        </w:tc>
        <w:tc>
          <w:tcPr>
            <w:tcW w:w="23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w:t>
            </w:r>
          </w:p>
        </w:tc>
      </w:tr>
      <w:tr w:rsidR="00D20A7C" w:rsidTr="00D20A7C">
        <w:trPr>
          <w:tblCellSpacing w:w="7" w:type="dxa"/>
          <w:jc w:val="center"/>
        </w:trPr>
        <w:tc>
          <w:tcPr>
            <w:tcW w:w="8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w:t>
            </w:r>
          </w:p>
        </w:tc>
        <w:tc>
          <w:tcPr>
            <w:tcW w:w="228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w:t>
            </w:r>
          </w:p>
        </w:tc>
        <w:tc>
          <w:tcPr>
            <w:tcW w:w="38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w:t>
            </w:r>
          </w:p>
        </w:tc>
        <w:tc>
          <w:tcPr>
            <w:tcW w:w="2340"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w:t>
            </w:r>
          </w:p>
        </w:tc>
        <w:tc>
          <w:tcPr>
            <w:tcW w:w="145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w:t>
            </w:r>
          </w:p>
        </w:tc>
        <w:tc>
          <w:tcPr>
            <w:tcW w:w="2385" w:type="dxa"/>
            <w:shd w:val="clear" w:color="auto" w:fill="FFFFFF"/>
            <w:tcMar>
              <w:top w:w="75" w:type="dxa"/>
              <w:left w:w="75" w:type="dxa"/>
              <w:bottom w:w="75" w:type="dxa"/>
              <w:right w:w="75" w:type="dxa"/>
            </w:tcMar>
            <w:vAlign w:val="center"/>
            <w:hideMark/>
          </w:tcPr>
          <w:p w:rsidR="00D20A7C" w:rsidRDefault="00D20A7C">
            <w:pPr>
              <w:spacing w:line="300" w:lineRule="atLeast"/>
              <w:jc w:val="center"/>
              <w:rPr>
                <w:rFonts w:ascii="微软雅黑" w:eastAsia="微软雅黑" w:hAnsi="微软雅黑" w:cs="宋体"/>
                <w:color w:val="494949"/>
                <w:sz w:val="18"/>
                <w:szCs w:val="18"/>
              </w:rPr>
            </w:pPr>
            <w:r>
              <w:rPr>
                <w:rFonts w:ascii="微软雅黑" w:eastAsia="微软雅黑" w:hAnsi="微软雅黑" w:hint="eastAsia"/>
                <w:color w:val="494949"/>
                <w:sz w:val="18"/>
                <w:szCs w:val="18"/>
              </w:rPr>
              <w:t> </w:t>
            </w:r>
          </w:p>
        </w:tc>
      </w:tr>
    </w:tbl>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（二）高水平教学科研创新团队</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创新团队的学科领域应符合我校专业建设布局规划，成员组成为3人及以上，且分工明确，团队带头人或业绩特别突出的成员。带头人一般应是行业专家（国家重大项目主持人或具有博士学位及正高职称的专业人才等），有较高的学术造诣，所取得的标志性成果在业内具有较高公认度，人员结构合理，团队成员应全部具有硕士及以上学位，其中核心成员应具有博士学位或正高专业技术职务。</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（三）领军型人才</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lastRenderedPageBreak/>
        <w:t>要求：入选或获得国家千人计划、长江学者、国家杰出青年、国家三大科技奖获得者、国家教学名师、省333工程第二层次培养对象、省政府特殊津贴、省有突出贡献专家等相关高层次人才。</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（四）其他人才</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具有教授职称或者具有副教授职称和博士学位，具有较高学术造诣和丰富的管理经验，能胜任中层正职岗位的人才；省双创计划培养对象、省级教学名师、省“青蓝工程”学术带头人等；在本专业领域有较突出的成果并得到同行认可的学者、市级教育管理拔尖人才、具备副高职称的优秀人才等；在行业内具有较高知名度，获得市级及以上科技进步奖、劳动模范等称号的能工巧匠。</w:t>
      </w:r>
    </w:p>
    <w:p w:rsidR="00D20A7C" w:rsidRDefault="00D20A7C" w:rsidP="00D20A7C">
      <w:pPr>
        <w:pStyle w:val="4"/>
        <w:pBdr>
          <w:bottom w:val="dashed" w:sz="6" w:space="6" w:color="E2E2E2"/>
        </w:pBdr>
        <w:spacing w:before="0" w:after="0"/>
        <w:ind w:left="375"/>
        <w:rPr>
          <w:rFonts w:ascii="微软雅黑" w:eastAsia="微软雅黑" w:hAnsi="微软雅黑" w:hint="eastAsia"/>
          <w:color w:val="E16204"/>
          <w:sz w:val="27"/>
          <w:szCs w:val="27"/>
        </w:rPr>
      </w:pPr>
      <w:bookmarkStart w:id="0" w:name="2"/>
      <w:bookmarkEnd w:id="0"/>
      <w:r>
        <w:rPr>
          <w:rFonts w:ascii="微软雅黑" w:eastAsia="微软雅黑" w:hAnsi="微软雅黑" w:hint="eastAsia"/>
          <w:color w:val="E16204"/>
          <w:sz w:val="27"/>
          <w:szCs w:val="27"/>
        </w:rPr>
        <w:t>二、引进待遇</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（一）专业骨干人才（博士及以上）：人才待遇</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1、具有正高职称，硕士学位及以上；近5年主持1项国家自科基金或国家社科基金，并以第一作者在SCI一区、二区收录期刊发表论文2篇或在SSCI收录期刊发表论文1篇；年龄50周岁以下。给予江苏省事业编制；安家费和购房补贴：正高且博士50-90万元，正高且硕士30-60万元；科研启动金5-35万元。</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2、毕业于世界排名前400位大学的博士生，本科学历在“双一流”、“985”、“211”高校取得，博士学位在中科院、社科院、“双一流”、“985”、“211”高校取得的博士生；参与1项国家自科基金或国际社科基金（排名前二），并以第一作者在SCI一区、二区收录期刊发表论文2篇或在SSCI收录期刊发表论文1篇；年龄40周岁以下。给予江苏省事业编制；安家费和购房补贴30-50万元；科研启动金5-35万元。</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lastRenderedPageBreak/>
        <w:t>3、取得博士学位的优秀毕业生（双证齐全），具有较好学术成果，有较大发展潜力；年龄40周岁以下。给予江苏省事业编制；安家费和购房补贴20-40万元；科研启动金5-35万元。</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以上人才学校均提供公寓2年周转用房或租房补贴2000元/月，2年合计4.8万元；协助解决配偶工作；未取得副高职称的博士来校工作后其校内个人奖励性绩效津贴等享受学校副高职称待遇；协助申报常州市引才资助金。</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（二）高水平教学科研创新团队：人才待遇</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团队成员年龄一般不超过45周岁，团队带头人或业绩特别突出的成员，年龄可适当放宽；核心成员给予江苏省事业编制；安家费和购房补贴：团队核心成员30-100万元；团队科研启动经费30-200万元；其他待遇面议；对学校紧缺专业的高水平教学科研创新团队引进，可一事一议。</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（三）领军型人才</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人才待遇</w:t>
      </w:r>
      <w:r>
        <w:rPr>
          <w:rFonts w:ascii="微软雅黑" w:eastAsia="微软雅黑" w:hAnsi="微软雅黑" w:hint="eastAsia"/>
          <w:color w:val="313131"/>
          <w:sz w:val="23"/>
          <w:szCs w:val="23"/>
        </w:rPr>
        <w:t>：年龄50周岁以下，待遇可根据自身实际选择“绩效工资制待遇”或“年薪制待遇”之一。</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绩效工资制待遇：</w:t>
      </w:r>
      <w:r>
        <w:rPr>
          <w:rFonts w:ascii="微软雅黑" w:eastAsia="微软雅黑" w:hAnsi="微软雅黑" w:hint="eastAsia"/>
          <w:color w:val="313131"/>
          <w:sz w:val="23"/>
          <w:szCs w:val="23"/>
        </w:rPr>
        <w:t>给予江苏省事业编制，按国家政策发放工资、津贴、办理社会保险和公积金；安家费和购房补贴50-200万元；科研启动金20-60万元； 学校提供人才公寓3年周转用房或给予租房补贴4000元/月，2年合计9.6万元；协助解决配偶工作；协助申报常州市引才资助金。</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年薪制待遇：</w:t>
      </w:r>
      <w:r>
        <w:rPr>
          <w:rFonts w:ascii="微软雅黑" w:eastAsia="微软雅黑" w:hAnsi="微软雅黑" w:hint="eastAsia"/>
          <w:color w:val="313131"/>
          <w:sz w:val="23"/>
          <w:szCs w:val="23"/>
        </w:rPr>
        <w:t>根据学校制订的年度考核方案，通过考核给予30-80万元/年的待遇。协助申报常州市引才资助金。业绩特别突出的或柔性引进的，年龄可适当放宽；</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lastRenderedPageBreak/>
        <w:t>对学校紧缺的领军型人才，可一事一议。</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b/>
          <w:bCs/>
          <w:color w:val="313131"/>
          <w:sz w:val="23"/>
          <w:szCs w:val="23"/>
        </w:rPr>
        <w:t>（四）其他人才：人才待遇</w:t>
      </w:r>
    </w:p>
    <w:p w:rsidR="00D20A7C" w:rsidRP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根据人才专业、学历学位等综合情况一事一议。</w:t>
      </w:r>
    </w:p>
    <w:p w:rsidR="00D20A7C" w:rsidRDefault="00D20A7C" w:rsidP="00D20A7C">
      <w:pPr>
        <w:pStyle w:val="4"/>
        <w:pBdr>
          <w:bottom w:val="dashed" w:sz="6" w:space="6" w:color="E2E2E2"/>
        </w:pBdr>
        <w:spacing w:before="0" w:after="0"/>
        <w:ind w:left="375"/>
        <w:rPr>
          <w:rFonts w:ascii="微软雅黑" w:eastAsia="微软雅黑" w:hAnsi="微软雅黑" w:hint="eastAsia"/>
          <w:color w:val="E16204"/>
          <w:sz w:val="27"/>
          <w:szCs w:val="27"/>
        </w:rPr>
      </w:pPr>
      <w:bookmarkStart w:id="1" w:name="3"/>
      <w:bookmarkEnd w:id="1"/>
      <w:r>
        <w:rPr>
          <w:rFonts w:ascii="微软雅黑" w:eastAsia="微软雅黑" w:hAnsi="微软雅黑" w:hint="eastAsia"/>
          <w:color w:val="E16204"/>
          <w:sz w:val="27"/>
          <w:szCs w:val="27"/>
        </w:rPr>
        <w:t>三、联系方式</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咨询电话：（0519）86338998 、86338997  、  18921002168(微信同号)</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联系邮箱：</w:t>
      </w:r>
      <w:r w:rsidRPr="00D20A7C">
        <w:rPr>
          <w:rFonts w:ascii="微软雅黑" w:eastAsia="微软雅黑" w:hAnsi="微软雅黑"/>
          <w:color w:val="313131"/>
          <w:sz w:val="23"/>
          <w:szCs w:val="23"/>
        </w:rPr>
        <w:t>ccitjszp@163.com</w:t>
      </w:r>
      <w:r w:rsidRPr="00D20A7C">
        <w:rPr>
          <w:rFonts w:ascii="微软雅黑" w:eastAsia="微软雅黑" w:hAnsi="微软雅黑" w:hint="eastAsia"/>
          <w:sz w:val="23"/>
          <w:szCs w:val="23"/>
        </w:rPr>
        <w:t>、</w:t>
      </w:r>
      <w:hyperlink r:id="rId5" w:history="1">
        <w:r w:rsidRPr="00D20A7C">
          <w:rPr>
            <w:rStyle w:val="a4"/>
            <w:rFonts w:ascii="微软雅黑" w:eastAsia="微软雅黑" w:hAnsi="微软雅黑" w:hint="eastAsia"/>
            <w:color w:val="auto"/>
            <w:sz w:val="23"/>
            <w:szCs w:val="23"/>
            <w:u w:val="none"/>
          </w:rPr>
          <w:t>zp@ccit.js.cn</w:t>
        </w:r>
      </w:hyperlink>
      <w:r>
        <w:rPr>
          <w:rFonts w:ascii="微软雅黑" w:eastAsia="微软雅黑" w:hAnsi="微软雅黑" w:hint="eastAsia"/>
          <w:color w:val="313131"/>
          <w:sz w:val="23"/>
          <w:szCs w:val="23"/>
        </w:rPr>
        <w:t>（应聘简历投递专用邮箱，请注明专业+学历/职称+姓名+中国博士人才网）</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联  系 人： 周老师    潘老师</w:t>
      </w:r>
    </w:p>
    <w:p w:rsidR="00D20A7C" w:rsidRDefault="00D20A7C" w:rsidP="00D20A7C">
      <w:pPr>
        <w:pStyle w:val="a3"/>
        <w:spacing w:before="75" w:beforeAutospacing="0" w:after="75" w:afterAutospacing="0" w:line="420" w:lineRule="atLeast"/>
        <w:ind w:firstLine="450"/>
        <w:rPr>
          <w:rFonts w:ascii="微软雅黑" w:eastAsia="微软雅黑" w:hAnsi="微软雅黑" w:hint="eastAsia"/>
          <w:color w:val="313131"/>
          <w:sz w:val="23"/>
          <w:szCs w:val="23"/>
        </w:rPr>
      </w:pPr>
      <w:r>
        <w:rPr>
          <w:rFonts w:ascii="微软雅黑" w:eastAsia="微软雅黑" w:hAnsi="微软雅黑" w:hint="eastAsia"/>
          <w:color w:val="313131"/>
          <w:sz w:val="23"/>
          <w:szCs w:val="23"/>
        </w:rPr>
        <w:t>学校网站：</w:t>
      </w:r>
      <w:hyperlink r:id="rId6" w:tgtFrame="_blank" w:history="1">
        <w:r w:rsidRPr="00D20A7C">
          <w:rPr>
            <w:rStyle w:val="a4"/>
            <w:rFonts w:ascii="微软雅黑" w:eastAsia="微软雅黑" w:hAnsi="微软雅黑" w:hint="eastAsia"/>
            <w:color w:val="auto"/>
            <w:sz w:val="23"/>
            <w:szCs w:val="23"/>
          </w:rPr>
          <w:t>www.ccit.js.cn</w:t>
        </w:r>
      </w:hyperlink>
    </w:p>
    <w:p w:rsidR="005759EF" w:rsidRDefault="005759EF"/>
    <w:sectPr w:rsidR="005759EF" w:rsidSect="005759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0A7C"/>
    <w:rsid w:val="005759EF"/>
    <w:rsid w:val="00D20A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EF"/>
    <w:pPr>
      <w:widowControl w:val="0"/>
      <w:jc w:val="both"/>
    </w:pPr>
  </w:style>
  <w:style w:type="paragraph" w:styleId="1">
    <w:name w:val="heading 1"/>
    <w:basedOn w:val="a"/>
    <w:link w:val="1Char"/>
    <w:uiPriority w:val="9"/>
    <w:qFormat/>
    <w:rsid w:val="00D20A7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iPriority w:val="9"/>
    <w:semiHidden/>
    <w:unhideWhenUsed/>
    <w:qFormat/>
    <w:rsid w:val="00D20A7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20A7C"/>
    <w:rPr>
      <w:rFonts w:ascii="宋体" w:eastAsia="宋体" w:hAnsi="宋体" w:cs="宋体"/>
      <w:b/>
      <w:bCs/>
      <w:kern w:val="36"/>
      <w:sz w:val="48"/>
      <w:szCs w:val="48"/>
    </w:rPr>
  </w:style>
  <w:style w:type="character" w:customStyle="1" w:styleId="4Char">
    <w:name w:val="标题 4 Char"/>
    <w:basedOn w:val="a0"/>
    <w:link w:val="4"/>
    <w:uiPriority w:val="9"/>
    <w:semiHidden/>
    <w:rsid w:val="00D20A7C"/>
    <w:rPr>
      <w:rFonts w:asciiTheme="majorHAnsi" w:eastAsiaTheme="majorEastAsia" w:hAnsiTheme="majorHAnsi" w:cstheme="majorBidi"/>
      <w:b/>
      <w:bCs/>
      <w:sz w:val="28"/>
      <w:szCs w:val="28"/>
    </w:rPr>
  </w:style>
  <w:style w:type="paragraph" w:styleId="a3">
    <w:name w:val="Normal (Web)"/>
    <w:basedOn w:val="a"/>
    <w:uiPriority w:val="99"/>
    <w:unhideWhenUsed/>
    <w:rsid w:val="00D20A7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D20A7C"/>
    <w:rPr>
      <w:color w:val="0000FF"/>
      <w:u w:val="single"/>
    </w:rPr>
  </w:style>
  <w:style w:type="paragraph" w:styleId="a5">
    <w:name w:val="Balloon Text"/>
    <w:basedOn w:val="a"/>
    <w:link w:val="Char"/>
    <w:uiPriority w:val="99"/>
    <w:semiHidden/>
    <w:unhideWhenUsed/>
    <w:rsid w:val="00D20A7C"/>
    <w:rPr>
      <w:sz w:val="18"/>
      <w:szCs w:val="18"/>
    </w:rPr>
  </w:style>
  <w:style w:type="character" w:customStyle="1" w:styleId="Char">
    <w:name w:val="批注框文本 Char"/>
    <w:basedOn w:val="a0"/>
    <w:link w:val="a5"/>
    <w:uiPriority w:val="99"/>
    <w:semiHidden/>
    <w:rsid w:val="00D20A7C"/>
    <w:rPr>
      <w:sz w:val="18"/>
      <w:szCs w:val="18"/>
    </w:rPr>
  </w:style>
</w:styles>
</file>

<file path=word/webSettings.xml><?xml version="1.0" encoding="utf-8"?>
<w:webSettings xmlns:r="http://schemas.openxmlformats.org/officeDocument/2006/relationships" xmlns:w="http://schemas.openxmlformats.org/wordprocessingml/2006/main">
  <w:divs>
    <w:div w:id="1015425144">
      <w:bodyDiv w:val="1"/>
      <w:marLeft w:val="0"/>
      <w:marRight w:val="0"/>
      <w:marTop w:val="0"/>
      <w:marBottom w:val="0"/>
      <w:divBdr>
        <w:top w:val="none" w:sz="0" w:space="0" w:color="auto"/>
        <w:left w:val="none" w:sz="0" w:space="0" w:color="auto"/>
        <w:bottom w:val="none" w:sz="0" w:space="0" w:color="auto"/>
        <w:right w:val="none" w:sz="0" w:space="0" w:color="auto"/>
      </w:divBdr>
    </w:div>
    <w:div w:id="13145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it.js.cn/" TargetMode="External"/><Relationship Id="rId5" Type="http://schemas.openxmlformats.org/officeDocument/2006/relationships/hyperlink" Target="mailto:zp@ccit.js.cn" TargetMode="External"/><Relationship Id="rId4" Type="http://schemas.openxmlformats.org/officeDocument/2006/relationships/hyperlink" Target="http://www.ccit.js.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2018-04-18T08:19:00Z</dcterms:created>
  <dcterms:modified xsi:type="dcterms:W3CDTF">2018-04-18T08:28:00Z</dcterms:modified>
</cp:coreProperties>
</file>