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300" w:lineRule="auto"/>
        <w:jc w:val="center"/>
        <w:rPr>
          <w:rFonts w:ascii="Times New Roman" w:hAnsi="Times New Roman" w:eastAsia="华文中宋"/>
          <w:b/>
          <w:color w:val="0070C0"/>
          <w:kern w:val="0"/>
          <w:sz w:val="44"/>
          <w:szCs w:val="44"/>
        </w:rPr>
      </w:pPr>
      <w:r>
        <w:rPr>
          <w:rFonts w:hint="eastAsia" w:ascii="Times New Roman" w:hAnsi="Times New Roman" w:eastAsia="华文中宋"/>
          <w:b/>
          <w:color w:val="0070C0"/>
          <w:kern w:val="0"/>
          <w:sz w:val="44"/>
          <w:szCs w:val="44"/>
        </w:rPr>
        <w:t>安徽理工大学</w:t>
      </w:r>
      <w:r>
        <w:rPr>
          <w:rFonts w:ascii="Times New Roman" w:hAnsi="Times New Roman" w:eastAsia="华文中宋"/>
          <w:b/>
          <w:color w:val="0070C0"/>
          <w:kern w:val="0"/>
          <w:sz w:val="44"/>
          <w:szCs w:val="44"/>
        </w:rPr>
        <w:t>2018</w:t>
      </w:r>
      <w:r>
        <w:rPr>
          <w:rFonts w:hint="eastAsia" w:ascii="Times New Roman" w:hAnsi="Times New Roman" w:eastAsia="华文中宋"/>
          <w:b/>
          <w:color w:val="0070C0"/>
          <w:kern w:val="0"/>
          <w:sz w:val="44"/>
          <w:szCs w:val="44"/>
        </w:rPr>
        <w:t>年高层次人才招聘公告</w:t>
      </w:r>
    </w:p>
    <w:p>
      <w:pPr>
        <w:spacing w:line="44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一、学校简介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安徽理工大学是中央与地方共建、安徽省重点建设的特色高水平大学。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学校建于</w:t>
      </w:r>
      <w:r>
        <w:rPr>
          <w:rFonts w:ascii="Times New Roman" w:hAnsi="Times New Roman" w:eastAsia="仿宋"/>
          <w:color w:val="0070C0"/>
          <w:sz w:val="28"/>
          <w:szCs w:val="28"/>
        </w:rPr>
        <w:t>1945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年，位于安徽省淮南市，距离省会合肥和新桥机场不足</w:t>
      </w:r>
      <w:r>
        <w:rPr>
          <w:rFonts w:ascii="Times New Roman" w:hAnsi="Times New Roman" w:eastAsia="仿宋"/>
          <w:color w:val="0070C0"/>
          <w:sz w:val="28"/>
          <w:szCs w:val="28"/>
        </w:rPr>
        <w:t>80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公里，京沪高铁和商杭高铁在此经停，交通十分便利。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学校有专任教师</w:t>
      </w:r>
      <w:r>
        <w:rPr>
          <w:rFonts w:ascii="Times New Roman" w:hAnsi="Times New Roman" w:eastAsia="仿宋"/>
          <w:color w:val="0070C0"/>
          <w:sz w:val="28"/>
          <w:szCs w:val="28"/>
        </w:rPr>
        <w:t>1200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多人，具有高级专业技术职称人员</w:t>
      </w:r>
      <w:r>
        <w:rPr>
          <w:rFonts w:ascii="Times New Roman" w:hAnsi="Times New Roman" w:eastAsia="仿宋"/>
          <w:color w:val="0070C0"/>
          <w:sz w:val="28"/>
          <w:szCs w:val="28"/>
        </w:rPr>
        <w:t>600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余人。其中中国工程院院士</w:t>
      </w:r>
      <w:r>
        <w:rPr>
          <w:rFonts w:ascii="Times New Roman" w:hAnsi="Times New Roman" w:eastAsia="仿宋"/>
          <w:color w:val="0070C0"/>
          <w:sz w:val="28"/>
          <w:szCs w:val="28"/>
        </w:rPr>
        <w:t>1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名。现有全日制在校本科生</w:t>
      </w:r>
      <w:r>
        <w:rPr>
          <w:rFonts w:ascii="Times New Roman" w:hAnsi="Times New Roman" w:eastAsia="仿宋"/>
          <w:color w:val="0070C0"/>
          <w:sz w:val="28"/>
          <w:szCs w:val="28"/>
        </w:rPr>
        <w:t>22000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余人，博士、硕士研究生近</w:t>
      </w:r>
      <w:r>
        <w:rPr>
          <w:rFonts w:ascii="Times New Roman" w:hAnsi="Times New Roman" w:eastAsia="仿宋"/>
          <w:color w:val="0070C0"/>
          <w:sz w:val="28"/>
          <w:szCs w:val="28"/>
        </w:rPr>
        <w:t>3000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人。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学校有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个一级学科博士点、</w:t>
      </w:r>
      <w:r>
        <w:rPr>
          <w:rFonts w:ascii="Times New Roman" w:hAnsi="Times New Roman" w:eastAsia="仿宋"/>
          <w:color w:val="0070C0"/>
          <w:sz w:val="28"/>
          <w:szCs w:val="28"/>
        </w:rPr>
        <w:t>19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个二级学科博士点、</w:t>
      </w:r>
      <w:r>
        <w:rPr>
          <w:rFonts w:ascii="Times New Roman" w:hAnsi="Times New Roman" w:eastAsia="仿宋"/>
          <w:color w:val="0070C0"/>
          <w:sz w:val="28"/>
          <w:szCs w:val="28"/>
        </w:rPr>
        <w:t>6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个博士后科研流动站、</w:t>
      </w:r>
      <w:r>
        <w:rPr>
          <w:rFonts w:ascii="Times New Roman" w:hAnsi="Times New Roman" w:eastAsia="仿宋"/>
          <w:color w:val="0070C0"/>
          <w:sz w:val="28"/>
          <w:szCs w:val="28"/>
        </w:rPr>
        <w:t>13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个一级学科硕士点、</w:t>
      </w:r>
      <w:r>
        <w:rPr>
          <w:rFonts w:ascii="Times New Roman" w:hAnsi="Times New Roman" w:eastAsia="仿宋"/>
          <w:color w:val="0070C0"/>
          <w:sz w:val="28"/>
          <w:szCs w:val="28"/>
        </w:rPr>
        <w:t>84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个二级学科硕士点，有工程硕士专业学位授权领域</w:t>
      </w:r>
      <w:r>
        <w:rPr>
          <w:rFonts w:ascii="Times New Roman" w:hAnsi="Times New Roman" w:eastAsia="仿宋"/>
          <w:color w:val="0070C0"/>
          <w:sz w:val="28"/>
          <w:szCs w:val="28"/>
        </w:rPr>
        <w:t>17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个、本科专业</w:t>
      </w:r>
      <w:r>
        <w:rPr>
          <w:rFonts w:ascii="Times New Roman" w:hAnsi="Times New Roman" w:eastAsia="仿宋"/>
          <w:color w:val="0070C0"/>
          <w:sz w:val="28"/>
          <w:szCs w:val="28"/>
        </w:rPr>
        <w:t>74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个。形成了以工为主，工、理、医、管、文、经、法、艺协调发展的学科体系。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学校有深部煤矿采动响应与灾害防控国家重点实验室（培育）、煤矿深井建设技术国家工程实验室（共建）以及教育部、安徽省重点实验室、工程实验室、工程研究中心、协同创新中心、院士工作站等省部级研究创新平台</w:t>
      </w:r>
      <w:r>
        <w:rPr>
          <w:rFonts w:ascii="Times New Roman" w:hAnsi="Times New Roman" w:eastAsia="仿宋"/>
          <w:color w:val="0070C0"/>
          <w:sz w:val="28"/>
          <w:szCs w:val="28"/>
        </w:rPr>
        <w:t>28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个。</w:t>
      </w:r>
    </w:p>
    <w:p>
      <w:pPr>
        <w:spacing w:line="44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bookmarkStart w:id="0" w:name="3"/>
      <w:bookmarkEnd w:id="0"/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二、招聘对象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1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．杰出人才</w:t>
      </w:r>
      <w:r>
        <w:rPr>
          <w:rFonts w:ascii="Times New Roman" w:hAnsi="Times New Roman" w:eastAsia="仿宋"/>
          <w:color w:val="0070C0"/>
          <w:sz w:val="28"/>
          <w:szCs w:val="28"/>
        </w:rPr>
        <w:t>: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中国科学院、中国工程院院士以及相当水平的专家学者。年龄一般不超过</w:t>
      </w:r>
      <w:r>
        <w:rPr>
          <w:rFonts w:ascii="Times New Roman" w:hAnsi="Times New Roman" w:eastAsia="仿宋"/>
          <w:color w:val="0070C0"/>
          <w:sz w:val="28"/>
          <w:szCs w:val="28"/>
        </w:rPr>
        <w:t>65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周岁。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．领军人才：国家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万人计划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（科技创新领军人才、哲学社会科学领军人才、教学名师、百千万工程领军人才）、国家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千人计划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创新人才长期项目和外专项目、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长江学者奖励计划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特聘教授、国家杰出青年基金、中科院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百人计划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入选者。年龄一般不超过</w:t>
      </w:r>
      <w:r>
        <w:rPr>
          <w:rFonts w:ascii="Times New Roman" w:hAnsi="Times New Roman" w:eastAsia="仿宋"/>
          <w:color w:val="0070C0"/>
          <w:sz w:val="28"/>
          <w:szCs w:val="28"/>
        </w:rPr>
        <w:t>55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周岁。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．青年拔尖人才：国家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万人计划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青年拔尖人才、</w:t>
      </w:r>
      <w:r>
        <w:rPr>
          <w:rFonts w:ascii="Times New Roman" w:hAnsi="Times New Roman" w:eastAsia="仿宋"/>
          <w:color w:val="0070C0"/>
          <w:sz w:val="28"/>
          <w:szCs w:val="28"/>
        </w:rPr>
        <w:t xml:space="preserve"> 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长江学者奖励计划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青年项目、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青年千人计划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、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优秀青年科学基金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等入选者。年龄一般不超过</w:t>
      </w:r>
      <w:r>
        <w:rPr>
          <w:rFonts w:ascii="Times New Roman" w:hAnsi="Times New Roman" w:eastAsia="仿宋"/>
          <w:color w:val="0070C0"/>
          <w:sz w:val="28"/>
          <w:szCs w:val="28"/>
        </w:rPr>
        <w:t>45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周岁。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4.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学术骨干：包括国内外知名高校、科研院所、企业单位具有较高学术造诣的正高级专业技术人员，省级人才计划入选者。年龄一般不超过</w:t>
      </w:r>
      <w:r>
        <w:rPr>
          <w:rFonts w:ascii="Times New Roman" w:hAnsi="Times New Roman" w:eastAsia="仿宋"/>
          <w:color w:val="0070C0"/>
          <w:sz w:val="28"/>
          <w:szCs w:val="28"/>
        </w:rPr>
        <w:t>50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周岁。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5.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国内外优秀青年人才：国内外高校或科研院所优秀博士（后）。国（境）外优秀青年人才必须是在国（境）外获得博士学位且有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年以上国（境）学习或工作经历的博士（后）。年龄一般不超过</w:t>
      </w:r>
      <w:r>
        <w:rPr>
          <w:rFonts w:ascii="Times New Roman" w:hAnsi="Times New Roman" w:eastAsia="仿宋"/>
          <w:color w:val="0070C0"/>
          <w:sz w:val="28"/>
          <w:szCs w:val="28"/>
        </w:rPr>
        <w:t>35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周岁。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国内外优秀青年人才层次划分标准：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第一层次：读博期间，以第一作者在</w:t>
      </w:r>
      <w:r>
        <w:rPr>
          <w:rFonts w:ascii="Times New Roman" w:hAnsi="Times New Roman" w:eastAsia="仿宋"/>
          <w:color w:val="0070C0"/>
          <w:sz w:val="28"/>
          <w:szCs w:val="28"/>
        </w:rPr>
        <w:t>SCI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篇或</w:t>
      </w:r>
      <w:r>
        <w:rPr>
          <w:rFonts w:ascii="Times New Roman" w:hAnsi="Times New Roman" w:eastAsia="仿宋"/>
          <w:color w:val="0070C0"/>
          <w:sz w:val="28"/>
          <w:szCs w:val="28"/>
        </w:rPr>
        <w:t>EI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篇或获发明专利授权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项或</w:t>
      </w:r>
      <w:r>
        <w:rPr>
          <w:rFonts w:ascii="Times New Roman" w:hAnsi="Times New Roman" w:eastAsia="仿宋"/>
          <w:color w:val="0070C0"/>
          <w:sz w:val="28"/>
          <w:szCs w:val="28"/>
        </w:rPr>
        <w:t>SSCI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篇及以上期刊论文的优秀博士。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第二层次：读博期间，以第一作者在</w:t>
      </w:r>
      <w:r>
        <w:rPr>
          <w:rFonts w:ascii="Times New Roman" w:hAnsi="Times New Roman" w:eastAsia="仿宋"/>
          <w:color w:val="0070C0"/>
          <w:sz w:val="28"/>
          <w:szCs w:val="28"/>
        </w:rPr>
        <w:t>SCI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篇或</w:t>
      </w:r>
      <w:r>
        <w:rPr>
          <w:rFonts w:ascii="Times New Roman" w:hAnsi="Times New Roman" w:eastAsia="仿宋"/>
          <w:color w:val="0070C0"/>
          <w:sz w:val="28"/>
          <w:szCs w:val="28"/>
        </w:rPr>
        <w:t>EI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4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篇或获发明专利授权</w:t>
      </w:r>
      <w:r>
        <w:rPr>
          <w:rFonts w:ascii="Times New Roman" w:hAnsi="Times New Roman" w:eastAsia="仿宋"/>
          <w:color w:val="0070C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项或</w:t>
      </w:r>
      <w:r>
        <w:rPr>
          <w:rFonts w:ascii="Times New Roman" w:hAnsi="Times New Roman" w:eastAsia="仿宋"/>
          <w:color w:val="0070C0"/>
          <w:sz w:val="28"/>
          <w:szCs w:val="28"/>
        </w:rPr>
        <w:t>SSCI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源刊上发表</w:t>
      </w:r>
      <w:r>
        <w:rPr>
          <w:rFonts w:ascii="Times New Roman" w:hAnsi="Times New Roman" w:eastAsia="仿宋"/>
          <w:color w:val="0070C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篇及以上期刊论文的优秀博士。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第三层次：其他符合学校教学科研需要的博士。</w:t>
      </w:r>
    </w:p>
    <w:p>
      <w:pPr>
        <w:spacing w:line="42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三、引才方式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分全职岗位和非全职岗位。非全职岗位限</w:t>
      </w:r>
      <w:r>
        <w:rPr>
          <w:rFonts w:ascii="Times New Roman" w:hAnsi="Times New Roman" w:eastAsia="仿宋"/>
          <w:color w:val="0070C0"/>
          <w:sz w:val="28"/>
          <w:szCs w:val="28"/>
        </w:rPr>
        <w:t>1-4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类人才，每年在校工作时间累计不少于</w:t>
      </w:r>
      <w:r>
        <w:rPr>
          <w:rFonts w:ascii="Times New Roman" w:hAnsi="Times New Roman" w:eastAsia="仿宋"/>
          <w:color w:val="0070C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个月。</w:t>
      </w:r>
      <w:r>
        <w:rPr>
          <w:rFonts w:ascii="Times New Roman" w:hAnsi="Times New Roman" w:eastAsia="仿宋"/>
          <w:color w:val="0070C0"/>
          <w:sz w:val="28"/>
          <w:szCs w:val="28"/>
        </w:rPr>
        <w:t>1-4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类人才常年招聘，不受招聘专业限制。</w:t>
      </w:r>
    </w:p>
    <w:p>
      <w:pPr>
        <w:spacing w:line="42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四、人才待遇</w:t>
      </w:r>
    </w:p>
    <w:tbl>
      <w:tblPr>
        <w:tblStyle w:val="12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7"/>
        <w:gridCol w:w="1155"/>
        <w:gridCol w:w="860"/>
        <w:gridCol w:w="1029"/>
        <w:gridCol w:w="905"/>
        <w:gridCol w:w="883"/>
        <w:gridCol w:w="1099"/>
        <w:gridCol w:w="1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人才类型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科研启动费（万元）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工资收入（万元</w:t>
            </w:r>
            <w:r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  <w:t>/</w:t>
            </w: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年）</w:t>
            </w:r>
          </w:p>
        </w:tc>
        <w:tc>
          <w:tcPr>
            <w:tcW w:w="9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安家费（万元）</w:t>
            </w:r>
          </w:p>
        </w:tc>
        <w:tc>
          <w:tcPr>
            <w:tcW w:w="88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学校给予的首付比例</w:t>
            </w:r>
          </w:p>
        </w:tc>
        <w:tc>
          <w:tcPr>
            <w:tcW w:w="10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享受首付的住房面积（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m</w:t>
            </w:r>
            <w:r>
              <w:rPr>
                <w:rFonts w:ascii="Times New Roman" w:hAnsi="Times New Roman" w:eastAsia="仿宋"/>
                <w:color w:val="0070C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）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其他待遇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自然科学类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color w:val="0070C0"/>
                <w:szCs w:val="21"/>
              </w:rPr>
              <w:t>人文社科类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88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0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杰出人才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200-500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50-100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120</w:t>
            </w:r>
          </w:p>
        </w:tc>
        <w:tc>
          <w:tcPr>
            <w:tcW w:w="90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100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 xml:space="preserve">200 </w:t>
            </w: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安排配偶工作，助手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2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名，专车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1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领军人才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400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40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80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80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100</w:t>
            </w:r>
          </w:p>
        </w:tc>
        <w:tc>
          <w:tcPr>
            <w:tcW w:w="90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60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80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180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安排配偶工作及子女入学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青年拔尖人才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150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200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60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25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35</w:t>
            </w:r>
          </w:p>
        </w:tc>
        <w:tc>
          <w:tcPr>
            <w:tcW w:w="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40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 xml:space="preserve">160 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学术骨干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100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150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30</w:t>
            </w:r>
          </w:p>
        </w:tc>
        <w:tc>
          <w:tcPr>
            <w:tcW w:w="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30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160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国（境）外优秀青年人才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第一层次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8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6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10</w:t>
            </w:r>
            <w:r>
              <w:rPr>
                <w:rFonts w:hint="eastAsia" w:ascii="Times New Roman" w:hAnsi="仿宋" w:eastAsia="仿宋"/>
                <w:color w:val="0070C0"/>
                <w:szCs w:val="21"/>
              </w:rPr>
              <w:t>～</w:t>
            </w:r>
            <w:r>
              <w:rPr>
                <w:rFonts w:ascii="Times New Roman" w:hAnsi="Times New Roman" w:eastAsia="仿宋"/>
                <w:color w:val="0070C0"/>
                <w:szCs w:val="21"/>
              </w:rPr>
              <w:t>20</w:t>
            </w:r>
          </w:p>
        </w:tc>
        <w:tc>
          <w:tcPr>
            <w:tcW w:w="9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18</w:t>
            </w:r>
          </w:p>
        </w:tc>
        <w:tc>
          <w:tcPr>
            <w:tcW w:w="8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140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第二层次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4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130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第三层次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4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120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国内优秀青年人才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第一层次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130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第二层次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20%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120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hint="eastAsia" w:ascii="Times New Roman" w:hAnsi="仿宋" w:eastAsia="仿宋"/>
                <w:color w:val="0070C0"/>
                <w:szCs w:val="21"/>
              </w:rPr>
              <w:t>第三层次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3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  <w:r>
              <w:rPr>
                <w:rFonts w:ascii="Times New Roman" w:hAnsi="Times New Roman" w:eastAsia="仿宋"/>
                <w:color w:val="0070C0"/>
                <w:szCs w:val="21"/>
              </w:rPr>
              <w:t>100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0070C0"/>
                <w:szCs w:val="21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1.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学校采取“以房引才”政策，新进人才，可购买校内家属区全产权住房一套，学校按照住宅均价提供对应比例的购房首付。首付面积外的房价，享受校内职工购房优惠价待遇（是市场价的一半约</w:t>
      </w:r>
      <w:r>
        <w:rPr>
          <w:rFonts w:ascii="Times New Roman" w:hAnsi="Times New Roman" w:eastAsia="仿宋"/>
          <w:color w:val="0070C0"/>
          <w:sz w:val="28"/>
          <w:szCs w:val="28"/>
        </w:rPr>
        <w:t>3500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元</w:t>
      </w:r>
      <w:r>
        <w:rPr>
          <w:rFonts w:ascii="Times New Roman" w:hAnsi="Times New Roman" w:eastAsia="仿宋"/>
          <w:color w:val="0070C0"/>
          <w:sz w:val="28"/>
          <w:szCs w:val="28"/>
        </w:rPr>
        <w:t>/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㎡）。如国内优秀青年人才第一层次可享受市场价值约</w:t>
      </w:r>
      <w:r>
        <w:rPr>
          <w:rFonts w:ascii="Times New Roman" w:hAnsi="Times New Roman" w:eastAsia="仿宋"/>
          <w:color w:val="0070C0"/>
          <w:sz w:val="28"/>
          <w:szCs w:val="28"/>
        </w:rPr>
        <w:t>100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万元的</w:t>
      </w:r>
      <w:r>
        <w:rPr>
          <w:rFonts w:ascii="Times New Roman" w:hAnsi="Times New Roman" w:eastAsia="仿宋"/>
          <w:color w:val="0070C0"/>
          <w:sz w:val="28"/>
          <w:szCs w:val="28"/>
        </w:rPr>
        <w:t>130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㎡住房一套，学校为其首付</w:t>
      </w:r>
      <w:r>
        <w:rPr>
          <w:rFonts w:ascii="Times New Roman" w:hAnsi="Times New Roman" w:eastAsia="仿宋"/>
          <w:color w:val="0070C0"/>
          <w:sz w:val="28"/>
          <w:szCs w:val="28"/>
        </w:rPr>
        <w:t>30%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，剩余</w:t>
      </w:r>
      <w:r>
        <w:rPr>
          <w:rFonts w:ascii="Times New Roman" w:hAnsi="Times New Roman" w:eastAsia="仿宋"/>
          <w:color w:val="0070C0"/>
          <w:sz w:val="28"/>
          <w:szCs w:val="28"/>
        </w:rPr>
        <w:t>70%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由其按市场价一半购买，自付约</w:t>
      </w:r>
      <w:r>
        <w:rPr>
          <w:rFonts w:ascii="Times New Roman" w:hAnsi="Times New Roman" w:eastAsia="仿宋"/>
          <w:color w:val="0070C0"/>
          <w:sz w:val="28"/>
          <w:szCs w:val="28"/>
        </w:rPr>
        <w:t>32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万元。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2.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学校采取“筑巢引凤”政策，除进校时享受“以房引才”政策外，首聘前三年对新进博士进行考核管理，考核合格者给予</w:t>
      </w:r>
      <w:r>
        <w:rPr>
          <w:rFonts w:ascii="Times New Roman" w:hAnsi="Times New Roman" w:eastAsia="仿宋"/>
          <w:color w:val="0070C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～</w:t>
      </w:r>
      <w:r>
        <w:rPr>
          <w:rFonts w:ascii="Times New Roman" w:hAnsi="Times New Roman" w:eastAsia="仿宋"/>
          <w:color w:val="0070C0"/>
          <w:sz w:val="28"/>
          <w:szCs w:val="28"/>
        </w:rPr>
        <w:t>5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万元奖励津贴；进校满三年后可入选“青年人才托举工程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培养，资助期内给予</w:t>
      </w:r>
      <w:r>
        <w:rPr>
          <w:rFonts w:ascii="Times New Roman" w:hAnsi="Times New Roman" w:eastAsia="仿宋"/>
          <w:color w:val="0070C0"/>
          <w:sz w:val="28"/>
          <w:szCs w:val="28"/>
        </w:rPr>
        <w:t>9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万元人才津贴，并资助其赴国（境）外大学进行为期</w:t>
      </w:r>
      <w:r>
        <w:rPr>
          <w:rFonts w:ascii="Times New Roman" w:hAnsi="Times New Roman" w:eastAsia="仿宋"/>
          <w:color w:val="0070C0"/>
          <w:sz w:val="28"/>
          <w:szCs w:val="28"/>
        </w:rPr>
        <w:t>1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年的访学与课程研修。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3.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医学博士进校后，除了在学校承担教学、科研任务外，还可到附属医院从事临床医技服务。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4.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优秀青年人才配偶安置。对国内外特别优秀的青年人才，其配偶有全日制硕士研究生学历的，采取“人事代理”的方式安置；有全日制本科学历的，采取</w:t>
      </w:r>
      <w:r>
        <w:rPr>
          <w:rFonts w:ascii="Times New Roman" w:hAnsi="Times New Roman" w:eastAsia="仿宋"/>
          <w:color w:val="0070C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校内聘任</w:t>
      </w:r>
      <w:r>
        <w:rPr>
          <w:rFonts w:ascii="Times New Roman" w:hAnsi="Times New Roman" w:eastAsia="仿宋"/>
          <w:color w:val="0070C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的方式安置。</w:t>
      </w:r>
    </w:p>
    <w:p>
      <w:pPr>
        <w:spacing w:line="400" w:lineRule="exact"/>
        <w:ind w:firstLine="560" w:firstLineChars="200"/>
        <w:rPr>
          <w:rFonts w:ascii="Times New Roman" w:hAnsi="仿宋" w:eastAsia="仿宋"/>
          <w:color w:val="0070C0"/>
          <w:sz w:val="28"/>
          <w:szCs w:val="28"/>
        </w:rPr>
      </w:pPr>
      <w:r>
        <w:rPr>
          <w:rFonts w:ascii="Times New Roman" w:hAnsi="Times New Roman" w:eastAsia="仿宋"/>
          <w:color w:val="0070C0"/>
          <w:sz w:val="28"/>
          <w:szCs w:val="28"/>
        </w:rPr>
        <w:t>5.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特需人才待遇</w:t>
      </w:r>
      <w:r>
        <w:rPr>
          <w:rFonts w:hint="eastAsia" w:ascii="Times New Roman" w:hAnsi="仿宋" w:eastAsia="仿宋"/>
          <w:color w:val="0070C0"/>
          <w:sz w:val="28"/>
          <w:szCs w:val="28"/>
        </w:rPr>
        <w:t>，一人一议。属于团队引进的，在科研启动费上按照现有标准的</w:t>
      </w:r>
      <w:r>
        <w:rPr>
          <w:rFonts w:ascii="Times New Roman" w:hAnsi="Times New Roman" w:eastAsia="仿宋"/>
          <w:color w:val="0070C0"/>
          <w:sz w:val="28"/>
          <w:szCs w:val="28"/>
        </w:rPr>
        <w:t>1.5</w:t>
      </w:r>
      <w:r>
        <w:rPr>
          <w:rFonts w:hint="eastAsia" w:ascii="Times New Roman" w:hAnsi="仿宋" w:eastAsia="仿宋"/>
          <w:color w:val="0070C0"/>
          <w:sz w:val="28"/>
          <w:szCs w:val="28"/>
        </w:rPr>
        <w:t>倍给予倾斜。</w:t>
      </w:r>
    </w:p>
    <w:p>
      <w:pPr>
        <w:spacing w:line="40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五、应聘须知</w:t>
      </w:r>
    </w:p>
    <w:p>
      <w:pPr>
        <w:spacing w:line="400" w:lineRule="exact"/>
        <w:ind w:firstLine="560" w:firstLineChars="200"/>
        <w:rPr>
          <w:rFonts w:ascii="Times New Roman" w:hAnsi="仿宋" w:eastAsia="仿宋"/>
          <w:color w:val="0070C0"/>
          <w:sz w:val="28"/>
          <w:szCs w:val="28"/>
        </w:rPr>
      </w:pPr>
      <w:r>
        <w:rPr>
          <w:rFonts w:hint="eastAsia" w:ascii="Times New Roman" w:hAnsi="仿宋" w:eastAsia="仿宋"/>
          <w:color w:val="0070C0"/>
          <w:sz w:val="28"/>
          <w:szCs w:val="28"/>
        </w:rPr>
        <w:t>应聘者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将个人简历、学历学位证书</w:t>
      </w:r>
      <w:r>
        <w:rPr>
          <w:rFonts w:hint="eastAsia" w:ascii="Times New Roman" w:hAnsi="仿宋" w:eastAsia="仿宋"/>
          <w:color w:val="0070C0"/>
          <w:sz w:val="28"/>
          <w:szCs w:val="28"/>
        </w:rPr>
        <w:t>、获奖证书、代表性论文、专利等材料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直接投递</w:t>
      </w:r>
      <w:r>
        <w:fldChar w:fldCharType="begin"/>
      </w:r>
      <w:r>
        <w:instrText xml:space="preserve"> HYPERLINK "mailto:同时投递至rcc@aust.edu.cn" </w:instrText>
      </w:r>
      <w:r>
        <w:fldChar w:fldCharType="separate"/>
      </w:r>
      <w:r>
        <w:rPr>
          <w:rStyle w:val="11"/>
          <w:rFonts w:hint="eastAsia" w:ascii="Times New Roman" w:hAnsi="Times New Roman" w:eastAsia="仿宋"/>
          <w:color w:val="0070C0"/>
          <w:sz w:val="28"/>
          <w:szCs w:val="28"/>
        </w:rPr>
        <w:t>至</w:t>
      </w:r>
      <w:r>
        <w:rPr>
          <w:rStyle w:val="11"/>
          <w:rFonts w:ascii="Times New Roman" w:hAnsi="Times New Roman" w:eastAsia="仿宋"/>
          <w:color w:val="0070C0"/>
          <w:sz w:val="28"/>
          <w:szCs w:val="28"/>
        </w:rPr>
        <w:t>rcc@aust.edu.cn</w:t>
      </w:r>
      <w:r>
        <w:rPr>
          <w:rStyle w:val="11"/>
          <w:rFonts w:ascii="Times New Roman" w:hAnsi="Times New Roman" w:eastAsia="仿宋"/>
          <w:color w:val="0070C0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。</w:t>
      </w:r>
    </w:p>
    <w:p>
      <w:pPr>
        <w:spacing w:line="400" w:lineRule="exact"/>
        <w:ind w:firstLine="560" w:firstLineChars="200"/>
        <w:outlineLvl w:val="0"/>
        <w:rPr>
          <w:rFonts w:ascii="Times New Roman" w:hAnsi="Times New Roman" w:eastAsia="华文中宋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华文中宋"/>
          <w:b/>
          <w:color w:val="FF0000"/>
          <w:sz w:val="28"/>
          <w:szCs w:val="28"/>
        </w:rPr>
        <w:t>六、联系方式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联系人：曹老师，电话：</w:t>
      </w:r>
      <w:r>
        <w:rPr>
          <w:rFonts w:ascii="Times New Roman" w:hAnsi="Times New Roman" w:eastAsia="仿宋"/>
          <w:color w:val="0070C0"/>
          <w:sz w:val="28"/>
          <w:szCs w:val="28"/>
        </w:rPr>
        <w:t xml:space="preserve">0554-6638830    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邮箱：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fldChar w:fldCharType="begin"/>
      </w:r>
      <w:r>
        <w:rPr>
          <w:rFonts w:hint="eastAsia" w:ascii="Times New Roman" w:hAnsi="Times New Roman" w:eastAsia="仿宋"/>
          <w:color w:val="0070C0"/>
          <w:sz w:val="28"/>
          <w:szCs w:val="28"/>
        </w:rPr>
        <w:instrText xml:space="preserve"> HYPERLINK "mailto:rcc@aust.edu.cn" </w:instrTex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fldChar w:fldCharType="separate"/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rcc@aust.edu.cn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instrText xml:space="preserve"> HYPERLINK "mailto:抄送ahlgdzp@sina.com" </w:instrText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 w:eastAsia="仿宋"/>
          <w:sz w:val="28"/>
          <w:szCs w:val="28"/>
          <w:lang w:val="en-US" w:eastAsia="zh-CN"/>
        </w:rPr>
        <w:t>抄送ahlgdzp@sina.com</w:t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"/>
          <w:color w:val="0070C0"/>
          <w:sz w:val="28"/>
          <w:szCs w:val="28"/>
          <w:lang w:val="en-US" w:eastAsia="zh-CN"/>
        </w:rPr>
        <w:t xml:space="preserve">  （邮件标题：高校师资网+姓名+专业+学历+毕业院校）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r>
        <w:rPr>
          <w:rFonts w:hint="eastAsia" w:ascii="Times New Roman" w:hAnsi="Times New Roman" w:eastAsia="仿宋"/>
          <w:color w:val="0070C0"/>
          <w:sz w:val="28"/>
          <w:szCs w:val="28"/>
        </w:rPr>
        <w:t>地址：安徽省淮南市泰丰大街</w:t>
      </w:r>
      <w:r>
        <w:rPr>
          <w:rFonts w:ascii="Times New Roman" w:hAnsi="Times New Roman" w:eastAsia="仿宋"/>
          <w:color w:val="0070C0"/>
          <w:sz w:val="28"/>
          <w:szCs w:val="28"/>
        </w:rPr>
        <w:t>168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号</w:t>
      </w:r>
      <w:r>
        <w:rPr>
          <w:rFonts w:ascii="Times New Roman" w:hAnsi="Times New Roman" w:eastAsia="仿宋"/>
          <w:color w:val="0070C0"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color w:val="0070C0"/>
          <w:sz w:val="28"/>
          <w:szCs w:val="28"/>
        </w:rPr>
        <w:t>邮编：</w:t>
      </w:r>
      <w:r>
        <w:rPr>
          <w:rFonts w:ascii="Times New Roman" w:hAnsi="Times New Roman" w:eastAsia="仿宋"/>
          <w:color w:val="0070C0"/>
          <w:sz w:val="28"/>
          <w:szCs w:val="28"/>
        </w:rPr>
        <w:t>232001</w:t>
      </w:r>
    </w:p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  <w:bookmarkStart w:id="1" w:name="_GoBack"/>
      <w:bookmarkEnd w:id="1"/>
    </w:p>
    <w:p>
      <w:pPr>
        <w:spacing w:line="420" w:lineRule="exact"/>
        <w:ind w:firstLine="880" w:firstLineChars="200"/>
        <w:outlineLvl w:val="0"/>
        <w:rPr>
          <w:rFonts w:ascii="Times New Roman" w:hAnsi="Times New Roman" w:eastAsia="华文中宋"/>
          <w:b/>
          <w:color w:val="FF0000"/>
          <w:sz w:val="44"/>
          <w:szCs w:val="44"/>
        </w:rPr>
      </w:pPr>
      <w:r>
        <w:rPr>
          <w:rFonts w:hint="eastAsia" w:ascii="Times New Roman" w:hAnsi="Times New Roman" w:eastAsia="华文中宋"/>
          <w:b/>
          <w:color w:val="FF0000"/>
          <w:sz w:val="44"/>
          <w:szCs w:val="44"/>
        </w:rPr>
        <w:t>安徽理工大学</w:t>
      </w:r>
      <w:r>
        <w:rPr>
          <w:rFonts w:ascii="Times New Roman" w:hAnsi="Times New Roman" w:eastAsia="华文中宋"/>
          <w:b/>
          <w:color w:val="FF0000"/>
          <w:sz w:val="44"/>
          <w:szCs w:val="44"/>
        </w:rPr>
        <w:t>2018</w:t>
      </w:r>
      <w:r>
        <w:rPr>
          <w:rFonts w:hint="eastAsia" w:ascii="Times New Roman" w:hAnsi="Times New Roman" w:eastAsia="华文中宋"/>
          <w:b/>
          <w:color w:val="FF0000"/>
          <w:sz w:val="44"/>
          <w:szCs w:val="44"/>
        </w:rPr>
        <w:t>年高层次人才招聘计划</w:t>
      </w:r>
    </w:p>
    <w:p>
      <w:pPr>
        <w:spacing w:line="420" w:lineRule="exact"/>
        <w:ind w:firstLine="880" w:firstLineChars="200"/>
        <w:jc w:val="center"/>
        <w:outlineLvl w:val="0"/>
        <w:rPr>
          <w:rFonts w:ascii="Times New Roman" w:hAnsi="Times New Roman" w:eastAsia="华文中宋"/>
          <w:b/>
          <w:color w:val="FF0000"/>
          <w:sz w:val="44"/>
          <w:szCs w:val="44"/>
        </w:rPr>
      </w:pPr>
    </w:p>
    <w:tbl>
      <w:tblPr>
        <w:tblStyle w:val="12"/>
        <w:tblW w:w="9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0"/>
        <w:gridCol w:w="735"/>
        <w:gridCol w:w="62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color w:val="3366F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66FF"/>
                <w:kern w:val="0"/>
                <w:sz w:val="24"/>
                <w:szCs w:val="24"/>
              </w:rPr>
              <w:t>学院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color w:val="3366F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66FF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color w:val="3366F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66FF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62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color w:val="3366F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66FF"/>
                <w:kern w:val="0"/>
                <w:sz w:val="24"/>
                <w:szCs w:val="24"/>
              </w:rPr>
              <w:t>招聘的专业与条件要求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62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地球与环境学院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给排水科学与工程（本科、硕士、博士阶段为给排水科学与工程或市政工程专业或环境工程专业。）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环境工程（本科、硕士、博士阶段均为环境工程或环境科学与工程专业，其中：大气污染控制方向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人、固体废物处理处置与资源化方向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人、物理性污染控制方向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水文与水资源工程（本科专业为水文与水资源工程或本科、硕士阶段为水力学与河流动力学相关专业。）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地下水科学与工程（本科、硕士阶段为地下水相关专业。）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地质工程、勘察技术与工程（工程地质与灾害地质方向或地球探测与信息技术或地球物理类方向；本科、硕士和博士阶段专业一致。）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能源与安全学院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交通工程（交通规划与控制方向，本科、硕士阶段为交通规划与控制相关专业。）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消防工程（本科或硕士为消防工程专业）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土木建筑学院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4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土木工程（岩土工程或结构工程或桥梁与隧道或供热、供气与通风或工程造价与管理等方向，本科、硕士和博士阶段专业一致。）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建筑学（本科或硕士为建筑学专业）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机械工程学院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车辆工程（本科或研究生阶段为车辆工程专业。）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4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机械工程（本科、硕士和博士阶段均为机械工程相关专业。）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仪器科学与技术或精密仪器与机械（本科和硕士阶段均为相关专业。）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电气与信息工程学院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电气工程（本科、硕士和博士阶段为电气工程相关专业。）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控制科学与工程（本科、硕士和博士阶段均为相关专业。）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电子科学与技术或信息与通信工程（本科、硕士和博士阶段为电气工程相关专业）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材料科学与工程学院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材料科学与工程（高分子材料方向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人、新型储能材料方向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人，本科、硕士和博士阶段专业相近。）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化学工程学院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化学工程与技术（能源化工方向、化学工程或化学工艺方向，本科、硕士和博士阶段专业一致。）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兵器科学与技术（军事化学、烟火、含能材料方向）或安全科学与工程（爆炸安全方向）或岩土工程（爆破方向）或工程力学（爆炸力学方向）或应用化学（爆炸化学方向）。本科、硕士和博士阶段均为相关专业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制药工程或药学（本科为制药工程或药学专业）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计算机科学与工程学院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计算机科学与技术或软件工程（本科、硕士和博士阶段为相关专业）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力学与光电物理学院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物理学（电子方向，本科、硕士和博士阶段专业相关）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力学（本科、硕士阶段均为力学专业）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数学与大数据学院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计算机科学与技术（本科或硕士阶段为相关专业）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统计学或应用数学（本科、硕士阶段为相关专业）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数学（本科、硕士和博士阶段均为数学相关专业。）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外国语学院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英语（语言文学或翻译方向，本科、硕士和博士阶段专业一致。）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医学院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临床医学（人体解剖学或组织胚胎学或病理解剖学方向，本科或硕士阶段为相关专业。）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药学（本科、硕士阶段为药学相关专业。）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内科学或外科学或妇产科学（本科、硕士阶段均为相关专业。）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生理学或病理生理学（本科、硕士阶段均为相关专业。）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免疫学或肿瘤学或预防医学（本科、硕士阶段均为相关专业。）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经济与管理学院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经济学（本科、硕士和博士阶段均经济学相近专业。）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管理科学与工程（本科、硕士和博士阶段均管理科学与工程相关专业。）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工商管理（本科、硕士和博士阶段均财务会计相近专业。）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测绘学院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5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测绘工程、地理信息科学、遥感科学与技术、导航工程等相关专业（本科、硕士和博士阶段专业相关相近。）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人文社会科学学院</w:t>
            </w:r>
            <w:r>
              <w:rPr>
                <w:rFonts w:ascii="宋体" w:cs="宋体"/>
                <w:color w:val="3366FF"/>
                <w:kern w:val="0"/>
                <w:szCs w:val="21"/>
              </w:rPr>
              <w:br w:type="textWrapping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新闻传播学（本科、硕士和博士阶段均为相关专业。）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公共管理（本科、硕士和博士阶段均为相关专业。）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马克思主义学院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中国近现代史基本问题研究（本科、硕士阶段均为相关专业。）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采动实验室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科研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ascii="宋体" w:hAnsi="宋体" w:cs="宋体"/>
                <w:color w:val="3366FF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5</w:t>
            </w:r>
          </w:p>
        </w:tc>
        <w:tc>
          <w:tcPr>
            <w:tcW w:w="62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3366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采矿工程或地质工程或机电工程（采矿工程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名、地质工程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名、机电工程</w:t>
            </w:r>
            <w:r>
              <w:rPr>
                <w:rFonts w:ascii="宋体" w:hAnsi="宋体" w:cs="宋体"/>
                <w:color w:val="3366FF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66FF"/>
                <w:kern w:val="0"/>
                <w:szCs w:val="21"/>
              </w:rPr>
              <w:t>名，本科、硕士和博士阶段所学专业相关相近。）</w:t>
            </w:r>
          </w:p>
        </w:tc>
      </w:tr>
    </w:tbl>
    <w:p>
      <w:pPr>
        <w:spacing w:line="400" w:lineRule="exact"/>
        <w:ind w:firstLine="560" w:firstLineChars="200"/>
        <w:rPr>
          <w:rFonts w:ascii="Times New Roman" w:hAnsi="Times New Roman" w:eastAsia="仿宋"/>
          <w:color w:val="0070C0"/>
          <w:sz w:val="28"/>
          <w:szCs w:val="28"/>
        </w:rPr>
      </w:pPr>
    </w:p>
    <w:sectPr>
      <w:pgSz w:w="11906" w:h="16838"/>
      <w:pgMar w:top="1134" w:right="1134" w:bottom="1134" w:left="1418" w:header="567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7EE"/>
    <w:rsid w:val="0000066C"/>
    <w:rsid w:val="00012CB9"/>
    <w:rsid w:val="00031289"/>
    <w:rsid w:val="00047266"/>
    <w:rsid w:val="000720AB"/>
    <w:rsid w:val="000920EC"/>
    <w:rsid w:val="00093AAF"/>
    <w:rsid w:val="00093F47"/>
    <w:rsid w:val="00096B68"/>
    <w:rsid w:val="000A7F56"/>
    <w:rsid w:val="000B2260"/>
    <w:rsid w:val="000B288C"/>
    <w:rsid w:val="000B43F2"/>
    <w:rsid w:val="000D3868"/>
    <w:rsid w:val="000D3A85"/>
    <w:rsid w:val="000E361B"/>
    <w:rsid w:val="000F0C4F"/>
    <w:rsid w:val="000F17B0"/>
    <w:rsid w:val="00107B18"/>
    <w:rsid w:val="00111B1B"/>
    <w:rsid w:val="00112BA9"/>
    <w:rsid w:val="0011308A"/>
    <w:rsid w:val="00113E58"/>
    <w:rsid w:val="00114342"/>
    <w:rsid w:val="0012176B"/>
    <w:rsid w:val="001317A2"/>
    <w:rsid w:val="00144B40"/>
    <w:rsid w:val="00152163"/>
    <w:rsid w:val="00152D29"/>
    <w:rsid w:val="001570AB"/>
    <w:rsid w:val="00157A9E"/>
    <w:rsid w:val="00166096"/>
    <w:rsid w:val="00170F8A"/>
    <w:rsid w:val="001847B8"/>
    <w:rsid w:val="001A07EE"/>
    <w:rsid w:val="001A4CB6"/>
    <w:rsid w:val="001B3C6E"/>
    <w:rsid w:val="001C4EB7"/>
    <w:rsid w:val="001D04FA"/>
    <w:rsid w:val="001D3BA0"/>
    <w:rsid w:val="001E7847"/>
    <w:rsid w:val="001F1478"/>
    <w:rsid w:val="001F79D8"/>
    <w:rsid w:val="00206A3E"/>
    <w:rsid w:val="0021194A"/>
    <w:rsid w:val="00212409"/>
    <w:rsid w:val="00214072"/>
    <w:rsid w:val="0022161B"/>
    <w:rsid w:val="00224630"/>
    <w:rsid w:val="002351D9"/>
    <w:rsid w:val="00240866"/>
    <w:rsid w:val="00243329"/>
    <w:rsid w:val="0024356F"/>
    <w:rsid w:val="00253279"/>
    <w:rsid w:val="00257CEA"/>
    <w:rsid w:val="002611ED"/>
    <w:rsid w:val="00265CEA"/>
    <w:rsid w:val="00274D58"/>
    <w:rsid w:val="002A7807"/>
    <w:rsid w:val="002D547D"/>
    <w:rsid w:val="002E1D0F"/>
    <w:rsid w:val="002E7FBF"/>
    <w:rsid w:val="00310FB1"/>
    <w:rsid w:val="00332019"/>
    <w:rsid w:val="003506BA"/>
    <w:rsid w:val="00365579"/>
    <w:rsid w:val="00386C9A"/>
    <w:rsid w:val="00395663"/>
    <w:rsid w:val="00395F1E"/>
    <w:rsid w:val="003C04CD"/>
    <w:rsid w:val="003D26E9"/>
    <w:rsid w:val="003E48F1"/>
    <w:rsid w:val="0040407C"/>
    <w:rsid w:val="004356ED"/>
    <w:rsid w:val="00466DF9"/>
    <w:rsid w:val="00474D8B"/>
    <w:rsid w:val="00476819"/>
    <w:rsid w:val="0048237D"/>
    <w:rsid w:val="00497291"/>
    <w:rsid w:val="004A51FD"/>
    <w:rsid w:val="004B383F"/>
    <w:rsid w:val="004C1A84"/>
    <w:rsid w:val="004C466E"/>
    <w:rsid w:val="004D026C"/>
    <w:rsid w:val="004E07F1"/>
    <w:rsid w:val="004F2D9E"/>
    <w:rsid w:val="0051395A"/>
    <w:rsid w:val="00531531"/>
    <w:rsid w:val="00534417"/>
    <w:rsid w:val="00554DE5"/>
    <w:rsid w:val="00560DF2"/>
    <w:rsid w:val="005815FC"/>
    <w:rsid w:val="0059020F"/>
    <w:rsid w:val="005B15AF"/>
    <w:rsid w:val="005D2119"/>
    <w:rsid w:val="005D362C"/>
    <w:rsid w:val="005E1D83"/>
    <w:rsid w:val="005E2D8C"/>
    <w:rsid w:val="005E40C2"/>
    <w:rsid w:val="006122C7"/>
    <w:rsid w:val="00612A52"/>
    <w:rsid w:val="006154D2"/>
    <w:rsid w:val="0063772E"/>
    <w:rsid w:val="00644C2C"/>
    <w:rsid w:val="00647871"/>
    <w:rsid w:val="00662456"/>
    <w:rsid w:val="00674451"/>
    <w:rsid w:val="00694ADD"/>
    <w:rsid w:val="00695359"/>
    <w:rsid w:val="006A06C8"/>
    <w:rsid w:val="006A0AE7"/>
    <w:rsid w:val="006B5BB8"/>
    <w:rsid w:val="006B5E55"/>
    <w:rsid w:val="006C6499"/>
    <w:rsid w:val="006C7622"/>
    <w:rsid w:val="006D334B"/>
    <w:rsid w:val="006D3E84"/>
    <w:rsid w:val="006F0513"/>
    <w:rsid w:val="0071151D"/>
    <w:rsid w:val="0071163C"/>
    <w:rsid w:val="0073066F"/>
    <w:rsid w:val="00732169"/>
    <w:rsid w:val="007343E8"/>
    <w:rsid w:val="00735397"/>
    <w:rsid w:val="00737519"/>
    <w:rsid w:val="0074525F"/>
    <w:rsid w:val="00752827"/>
    <w:rsid w:val="00756EB5"/>
    <w:rsid w:val="00764F9A"/>
    <w:rsid w:val="007664A0"/>
    <w:rsid w:val="00780360"/>
    <w:rsid w:val="007806B6"/>
    <w:rsid w:val="00785B97"/>
    <w:rsid w:val="00793765"/>
    <w:rsid w:val="00794C6F"/>
    <w:rsid w:val="007954C7"/>
    <w:rsid w:val="007A026C"/>
    <w:rsid w:val="007A7F38"/>
    <w:rsid w:val="007B0663"/>
    <w:rsid w:val="007B39FF"/>
    <w:rsid w:val="007B76B3"/>
    <w:rsid w:val="007D6C7F"/>
    <w:rsid w:val="007F12CC"/>
    <w:rsid w:val="00801203"/>
    <w:rsid w:val="00810C12"/>
    <w:rsid w:val="00811722"/>
    <w:rsid w:val="008138FF"/>
    <w:rsid w:val="00822171"/>
    <w:rsid w:val="00822417"/>
    <w:rsid w:val="00834416"/>
    <w:rsid w:val="0084611F"/>
    <w:rsid w:val="00851E5C"/>
    <w:rsid w:val="0085589D"/>
    <w:rsid w:val="008560E8"/>
    <w:rsid w:val="00856448"/>
    <w:rsid w:val="00862AA7"/>
    <w:rsid w:val="00870365"/>
    <w:rsid w:val="008758F9"/>
    <w:rsid w:val="00880D56"/>
    <w:rsid w:val="00885A4E"/>
    <w:rsid w:val="00893853"/>
    <w:rsid w:val="008A447B"/>
    <w:rsid w:val="008A5D53"/>
    <w:rsid w:val="008B1A9F"/>
    <w:rsid w:val="008B255A"/>
    <w:rsid w:val="008D2F8B"/>
    <w:rsid w:val="008D36A6"/>
    <w:rsid w:val="008F6182"/>
    <w:rsid w:val="008F7A3A"/>
    <w:rsid w:val="00903C04"/>
    <w:rsid w:val="00912B35"/>
    <w:rsid w:val="00920018"/>
    <w:rsid w:val="0093155A"/>
    <w:rsid w:val="00962AEF"/>
    <w:rsid w:val="00962C03"/>
    <w:rsid w:val="009659FF"/>
    <w:rsid w:val="009729D9"/>
    <w:rsid w:val="009C2817"/>
    <w:rsid w:val="009C6F84"/>
    <w:rsid w:val="009E37CA"/>
    <w:rsid w:val="00A0581F"/>
    <w:rsid w:val="00A14FCB"/>
    <w:rsid w:val="00A16F15"/>
    <w:rsid w:val="00A17920"/>
    <w:rsid w:val="00A35431"/>
    <w:rsid w:val="00A66434"/>
    <w:rsid w:val="00A81D0D"/>
    <w:rsid w:val="00A90E6E"/>
    <w:rsid w:val="00AA2110"/>
    <w:rsid w:val="00AA4CE0"/>
    <w:rsid w:val="00AA50B2"/>
    <w:rsid w:val="00AB15F5"/>
    <w:rsid w:val="00AC7152"/>
    <w:rsid w:val="00AD0981"/>
    <w:rsid w:val="00AD7509"/>
    <w:rsid w:val="00AE47FD"/>
    <w:rsid w:val="00AE65EC"/>
    <w:rsid w:val="00AE6783"/>
    <w:rsid w:val="00B04C8B"/>
    <w:rsid w:val="00B17090"/>
    <w:rsid w:val="00B20330"/>
    <w:rsid w:val="00B23167"/>
    <w:rsid w:val="00B246F2"/>
    <w:rsid w:val="00B35405"/>
    <w:rsid w:val="00B40A47"/>
    <w:rsid w:val="00B555E0"/>
    <w:rsid w:val="00B55AC9"/>
    <w:rsid w:val="00B56977"/>
    <w:rsid w:val="00B61898"/>
    <w:rsid w:val="00B75731"/>
    <w:rsid w:val="00B764A8"/>
    <w:rsid w:val="00B8339E"/>
    <w:rsid w:val="00B83613"/>
    <w:rsid w:val="00B874ED"/>
    <w:rsid w:val="00B94821"/>
    <w:rsid w:val="00BA62D8"/>
    <w:rsid w:val="00BA777E"/>
    <w:rsid w:val="00BB3D74"/>
    <w:rsid w:val="00BD3801"/>
    <w:rsid w:val="00BE2A8A"/>
    <w:rsid w:val="00BE69F5"/>
    <w:rsid w:val="00BF535D"/>
    <w:rsid w:val="00C03729"/>
    <w:rsid w:val="00C03A29"/>
    <w:rsid w:val="00C15CA8"/>
    <w:rsid w:val="00C21E12"/>
    <w:rsid w:val="00C37972"/>
    <w:rsid w:val="00C8408C"/>
    <w:rsid w:val="00C85640"/>
    <w:rsid w:val="00C92AFB"/>
    <w:rsid w:val="00C93832"/>
    <w:rsid w:val="00C97B48"/>
    <w:rsid w:val="00CA0CCD"/>
    <w:rsid w:val="00CA4C9A"/>
    <w:rsid w:val="00CB2942"/>
    <w:rsid w:val="00CC776F"/>
    <w:rsid w:val="00CD47EB"/>
    <w:rsid w:val="00CF2BCF"/>
    <w:rsid w:val="00D00C69"/>
    <w:rsid w:val="00D02A17"/>
    <w:rsid w:val="00D07CB4"/>
    <w:rsid w:val="00D13396"/>
    <w:rsid w:val="00D1689C"/>
    <w:rsid w:val="00D207E5"/>
    <w:rsid w:val="00D2178A"/>
    <w:rsid w:val="00D24FC0"/>
    <w:rsid w:val="00D2738D"/>
    <w:rsid w:val="00D32CD0"/>
    <w:rsid w:val="00D335BD"/>
    <w:rsid w:val="00D33FBA"/>
    <w:rsid w:val="00D34BB6"/>
    <w:rsid w:val="00D42307"/>
    <w:rsid w:val="00D42BC1"/>
    <w:rsid w:val="00D51972"/>
    <w:rsid w:val="00D6704F"/>
    <w:rsid w:val="00D76476"/>
    <w:rsid w:val="00D81903"/>
    <w:rsid w:val="00D95CE0"/>
    <w:rsid w:val="00DB2819"/>
    <w:rsid w:val="00DC600C"/>
    <w:rsid w:val="00DD3D81"/>
    <w:rsid w:val="00DE6486"/>
    <w:rsid w:val="00E153BA"/>
    <w:rsid w:val="00E21FC1"/>
    <w:rsid w:val="00E26DB0"/>
    <w:rsid w:val="00E32D29"/>
    <w:rsid w:val="00E33060"/>
    <w:rsid w:val="00E36184"/>
    <w:rsid w:val="00E431BC"/>
    <w:rsid w:val="00E458A6"/>
    <w:rsid w:val="00E51509"/>
    <w:rsid w:val="00E517E6"/>
    <w:rsid w:val="00E55D10"/>
    <w:rsid w:val="00E57B15"/>
    <w:rsid w:val="00E70A3E"/>
    <w:rsid w:val="00E71B07"/>
    <w:rsid w:val="00E806E2"/>
    <w:rsid w:val="00EB5CB5"/>
    <w:rsid w:val="00EC71AC"/>
    <w:rsid w:val="00EE2125"/>
    <w:rsid w:val="00EF61E3"/>
    <w:rsid w:val="00F02DEC"/>
    <w:rsid w:val="00F046E4"/>
    <w:rsid w:val="00F1031F"/>
    <w:rsid w:val="00F1337E"/>
    <w:rsid w:val="00F160FE"/>
    <w:rsid w:val="00F17E93"/>
    <w:rsid w:val="00F22313"/>
    <w:rsid w:val="00F22A64"/>
    <w:rsid w:val="00F34FEA"/>
    <w:rsid w:val="00F5226B"/>
    <w:rsid w:val="00F566FF"/>
    <w:rsid w:val="00F7377D"/>
    <w:rsid w:val="00F7764D"/>
    <w:rsid w:val="00F9691C"/>
    <w:rsid w:val="00FA1791"/>
    <w:rsid w:val="00FA6EAF"/>
    <w:rsid w:val="00FB02DD"/>
    <w:rsid w:val="00FB120F"/>
    <w:rsid w:val="00FB5073"/>
    <w:rsid w:val="00FC185B"/>
    <w:rsid w:val="00FC246C"/>
    <w:rsid w:val="00FC5436"/>
    <w:rsid w:val="00FE0B10"/>
    <w:rsid w:val="00FE4338"/>
    <w:rsid w:val="00FF69B2"/>
    <w:rsid w:val="04955E73"/>
    <w:rsid w:val="0E477DB6"/>
    <w:rsid w:val="127014CE"/>
    <w:rsid w:val="12D91D8D"/>
    <w:rsid w:val="1C5E6932"/>
    <w:rsid w:val="3B4076ED"/>
    <w:rsid w:val="4AF5385F"/>
    <w:rsid w:val="51677BD9"/>
    <w:rsid w:val="5627446A"/>
    <w:rsid w:val="5C2D3262"/>
    <w:rsid w:val="6E9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99"/>
    <w:rPr>
      <w:rFonts w:cs="Times New Roman"/>
      <w:b/>
    </w:rPr>
  </w:style>
  <w:style w:type="character" w:styleId="10">
    <w:name w:val="FollowedHyperlink"/>
    <w:basedOn w:val="8"/>
    <w:uiPriority w:val="99"/>
    <w:rPr>
      <w:rFonts w:cs="Times New Roman"/>
      <w:color w:val="800080"/>
      <w:u w:val="none"/>
    </w:rPr>
  </w:style>
  <w:style w:type="character" w:styleId="11">
    <w:name w:val="Hyperlink"/>
    <w:basedOn w:val="8"/>
    <w:uiPriority w:val="99"/>
    <w:rPr>
      <w:rFonts w:cs="Times New Roman"/>
      <w:color w:val="0000FF"/>
      <w:u w:val="none"/>
    </w:rPr>
  </w:style>
  <w:style w:type="character" w:customStyle="1" w:styleId="13">
    <w:name w:val="Heading 2 Char"/>
    <w:basedOn w:val="8"/>
    <w:link w:val="2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Document Map Char"/>
    <w:basedOn w:val="8"/>
    <w:link w:val="3"/>
    <w:semiHidden/>
    <w:locked/>
    <w:uiPriority w:val="99"/>
    <w:rPr>
      <w:rFonts w:ascii="宋体" w:eastAsia="宋体" w:cs="Times New Roman"/>
      <w:sz w:val="18"/>
      <w:szCs w:val="18"/>
    </w:rPr>
  </w:style>
  <w:style w:type="character" w:customStyle="1" w:styleId="15">
    <w:name w:val="Balloon Text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8"/>
    <w:link w:val="5"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8"/>
    <w:link w:val="6"/>
    <w:locked/>
    <w:uiPriority w:val="99"/>
    <w:rPr>
      <w:rFonts w:cs="Times New Roman"/>
      <w:sz w:val="18"/>
      <w:szCs w:val="18"/>
    </w:rPr>
  </w:style>
  <w:style w:type="character" w:customStyle="1" w:styleId="18">
    <w:name w:val="font61"/>
    <w:basedOn w:val="8"/>
    <w:uiPriority w:val="99"/>
    <w:rPr>
      <w:rFonts w:ascii="Times New Roman" w:hAnsi="Times New Roman" w:cs="Times New Roman"/>
      <w:b/>
      <w:color w:val="0070C0"/>
      <w:sz w:val="24"/>
      <w:szCs w:val="24"/>
      <w:u w:val="none"/>
    </w:rPr>
  </w:style>
  <w:style w:type="character" w:customStyle="1" w:styleId="19">
    <w:name w:val="font41"/>
    <w:basedOn w:val="8"/>
    <w:uiPriority w:val="99"/>
    <w:rPr>
      <w:rFonts w:ascii="Times New Roman" w:hAnsi="Times New Roman" w:cs="Times New Roman"/>
      <w:b/>
      <w:color w:val="FF0000"/>
      <w:sz w:val="24"/>
      <w:szCs w:val="24"/>
      <w:u w:val="none"/>
    </w:rPr>
  </w:style>
  <w:style w:type="character" w:customStyle="1" w:styleId="20">
    <w:name w:val="font51"/>
    <w:basedOn w:val="8"/>
    <w:qFormat/>
    <w:uiPriority w:val="99"/>
    <w:rPr>
      <w:rFonts w:ascii="宋体" w:hAnsi="宋体" w:eastAsia="宋体" w:cs="宋体"/>
      <w:b/>
      <w:color w:val="0070C0"/>
      <w:sz w:val="24"/>
      <w:szCs w:val="24"/>
      <w:u w:val="none"/>
    </w:rPr>
  </w:style>
  <w:style w:type="character" w:customStyle="1" w:styleId="21">
    <w:name w:val="font21"/>
    <w:basedOn w:val="8"/>
    <w:uiPriority w:val="99"/>
    <w:rPr>
      <w:rFonts w:ascii="宋体" w:hAnsi="宋体" w:eastAsia="宋体" w:cs="宋体"/>
      <w:b/>
      <w:color w:val="FF0000"/>
      <w:sz w:val="24"/>
      <w:szCs w:val="24"/>
      <w:u w:val="none"/>
    </w:rPr>
  </w:style>
  <w:style w:type="character" w:customStyle="1" w:styleId="22">
    <w:name w:val="ask-title2"/>
    <w:basedOn w:val="8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5</Pages>
  <Words>625</Words>
  <Characters>3565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2016-10-31T06:32:00Z</dcterms:created>
  <dc:creator>China</dc:creator>
  <cp:lastModifiedBy>bingbing</cp:lastModifiedBy>
  <dcterms:modified xsi:type="dcterms:W3CDTF">2017-11-02T07:08:20Z</dcterms:modified>
  <dc:title>安徽理工大学2016年人才招聘公告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